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140787FD" w:rsidR="003C5021" w:rsidRPr="006361ED" w:rsidRDefault="003C5021" w:rsidP="003C5021">
      <w:pPr>
        <w:tabs>
          <w:tab w:val="right" w:pos="9900"/>
        </w:tabs>
        <w:rPr>
          <w:rFonts w:ascii="Arial" w:hAnsi="Arial" w:cs="Arial"/>
          <w:b/>
          <w:bCs/>
        </w:rPr>
      </w:pPr>
      <w:bookmarkStart w:id="0" w:name="_Hlk506372364"/>
      <w:bookmarkStart w:id="1" w:name="_Hlk528690804"/>
      <w:bookmarkStart w:id="2" w:name="OLE_LINK6"/>
      <w:bookmarkStart w:id="3" w:name="OLE_LINK7"/>
      <w:r w:rsidRPr="00876D6D">
        <w:rPr>
          <w:rFonts w:ascii="Arial" w:hAnsi="Arial" w:cs="Arial"/>
          <w:b/>
          <w:bCs/>
        </w:rPr>
        <w:t xml:space="preserve">3GPP TSG RAN WG1 Meeting </w:t>
      </w:r>
      <w:bookmarkEnd w:id="0"/>
      <w:r w:rsidR="002B27AC">
        <w:rPr>
          <w:rFonts w:ascii="Arial" w:hAnsi="Arial" w:cs="Arial"/>
          <w:b/>
          <w:bCs/>
        </w:rPr>
        <w:t>#95</w:t>
      </w:r>
      <w:r w:rsidR="00A27E51">
        <w:rPr>
          <w:rFonts w:ascii="Arial" w:hAnsi="Arial" w:cs="Arial"/>
          <w:b/>
          <w:bCs/>
        </w:rPr>
        <w:tab/>
        <w:t>R1-18</w:t>
      </w:r>
      <w:r w:rsidR="005368CB">
        <w:rPr>
          <w:rFonts w:ascii="Arial" w:hAnsi="Arial" w:cs="Arial"/>
          <w:b/>
          <w:bCs/>
        </w:rPr>
        <w:t>13411</w:t>
      </w:r>
    </w:p>
    <w:p w14:paraId="2737B35D" w14:textId="58E82754" w:rsidR="003C5021" w:rsidRPr="006361ED" w:rsidRDefault="002B27AC" w:rsidP="003C5021">
      <w:pPr>
        <w:tabs>
          <w:tab w:val="right" w:pos="9900"/>
        </w:tabs>
        <w:rPr>
          <w:rFonts w:ascii="Arial" w:hAnsi="Arial" w:cs="Arial"/>
          <w:b/>
          <w:bCs/>
        </w:rPr>
      </w:pPr>
      <w:r>
        <w:rPr>
          <w:rFonts w:ascii="Arial" w:hAnsi="Arial" w:cs="Arial"/>
          <w:b/>
          <w:bCs/>
        </w:rPr>
        <w:t>Spokane</w:t>
      </w:r>
      <w:r w:rsidR="00177A20">
        <w:rPr>
          <w:rFonts w:ascii="Arial" w:hAnsi="Arial" w:cs="Arial"/>
          <w:b/>
          <w:bCs/>
        </w:rPr>
        <w:t xml:space="preserve">, </w:t>
      </w:r>
      <w:r>
        <w:rPr>
          <w:rFonts w:ascii="Arial" w:hAnsi="Arial" w:cs="Arial"/>
          <w:b/>
          <w:bCs/>
        </w:rPr>
        <w:t>USA</w:t>
      </w:r>
    </w:p>
    <w:p w14:paraId="1EE8BBCC" w14:textId="2C8AEC26" w:rsidR="003C5021" w:rsidRPr="006361ED" w:rsidRDefault="002B27AC" w:rsidP="003C5021">
      <w:pPr>
        <w:tabs>
          <w:tab w:val="right" w:pos="9900"/>
        </w:tabs>
        <w:rPr>
          <w:rFonts w:ascii="Arial" w:hAnsi="Arial" w:cs="Arial"/>
          <w:b/>
          <w:bCs/>
        </w:rPr>
      </w:pPr>
      <w:r>
        <w:rPr>
          <w:rFonts w:ascii="Arial" w:hAnsi="Arial" w:cs="Arial"/>
          <w:b/>
          <w:bCs/>
        </w:rPr>
        <w:t>Nov</w:t>
      </w:r>
      <w:r w:rsidR="003C5021" w:rsidRPr="006361ED">
        <w:rPr>
          <w:rFonts w:ascii="Arial" w:hAnsi="Arial" w:cs="Arial"/>
          <w:b/>
          <w:bCs/>
        </w:rPr>
        <w:t xml:space="preserve">. </w:t>
      </w:r>
      <w:r>
        <w:rPr>
          <w:rFonts w:ascii="Arial" w:hAnsi="Arial" w:cs="Arial"/>
          <w:b/>
          <w:bCs/>
        </w:rPr>
        <w:t>12</w:t>
      </w:r>
      <w:r w:rsidR="003C5021" w:rsidRPr="006361ED">
        <w:rPr>
          <w:rFonts w:ascii="Arial" w:hAnsi="Arial" w:cs="Arial"/>
          <w:b/>
          <w:bCs/>
        </w:rPr>
        <w:t xml:space="preserve">th – </w:t>
      </w:r>
      <w:r>
        <w:rPr>
          <w:rFonts w:ascii="Arial" w:hAnsi="Arial" w:cs="Arial"/>
          <w:b/>
          <w:bCs/>
        </w:rPr>
        <w:t>Nov</w:t>
      </w:r>
      <w:r w:rsidR="003C5021" w:rsidRPr="006361ED">
        <w:rPr>
          <w:rFonts w:ascii="Arial" w:hAnsi="Arial" w:cs="Arial"/>
          <w:b/>
          <w:bCs/>
        </w:rPr>
        <w:t xml:space="preserve">. </w:t>
      </w:r>
      <w:r>
        <w:rPr>
          <w:rFonts w:ascii="Arial" w:hAnsi="Arial" w:cs="Arial"/>
          <w:b/>
          <w:bCs/>
        </w:rPr>
        <w:t>16</w:t>
      </w:r>
      <w:r w:rsidR="003C5021" w:rsidRPr="006361ED">
        <w:rPr>
          <w:rFonts w:ascii="Arial" w:hAnsi="Arial" w:cs="Arial"/>
          <w:b/>
          <w:bCs/>
        </w:rPr>
        <w:t xml:space="preserve">th, 2018  </w:t>
      </w:r>
    </w:p>
    <w:bookmarkEnd w:id="1"/>
    <w:p w14:paraId="46418894" w14:textId="0C67DD92" w:rsidR="000055DC" w:rsidRPr="00001EBE" w:rsidRDefault="000055DC" w:rsidP="00C418D9">
      <w:pPr>
        <w:rPr>
          <w:rFonts w:ascii="Arial" w:hAnsi="Arial" w:cs="Arial"/>
        </w:rPr>
      </w:pP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34AEEEA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001EBE">
        <w:rPr>
          <w:rFonts w:ascii="Arial" w:hAnsi="Arial" w:cs="Arial"/>
          <w:b/>
        </w:rPr>
        <w:t>3.1</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143FE033" w14:textId="4E678AA6" w:rsidR="00B438DE" w:rsidRPr="006361ED" w:rsidRDefault="00B438DE" w:rsidP="00897FFC">
      <w:pPr>
        <w:pStyle w:val="LGTdoc1"/>
        <w:spacing w:beforeLines="0" w:before="120" w:after="0" w:afterAutospacing="0"/>
        <w:rPr>
          <w:b w:val="0"/>
          <w:sz w:val="20"/>
        </w:rPr>
      </w:pPr>
      <w:r w:rsidRPr="006361ED">
        <w:rPr>
          <w:b w:val="0"/>
          <w:sz w:val="20"/>
        </w:rPr>
        <w:t>In RAN</w:t>
      </w:r>
      <w:r w:rsidR="00897FFC">
        <w:rPr>
          <w:b w:val="0"/>
          <w:sz w:val="20"/>
        </w:rPr>
        <w:t>1</w:t>
      </w:r>
      <w:r w:rsidRPr="006361ED">
        <w:rPr>
          <w:b w:val="0"/>
          <w:sz w:val="20"/>
        </w:rPr>
        <w:t>#</w:t>
      </w:r>
      <w:r w:rsidR="00897FFC">
        <w:rPr>
          <w:b w:val="0"/>
          <w:sz w:val="20"/>
        </w:rPr>
        <w:t xml:space="preserve">94, the multiple aspects on the NR-U DL signals and channels are summarized in </w:t>
      </w:r>
      <w:r w:rsidRPr="006361ED">
        <w:rPr>
          <w:b w:val="0"/>
          <w:sz w:val="20"/>
        </w:rPr>
        <w:t>[1]</w:t>
      </w:r>
      <w:r w:rsidR="00897FFC">
        <w:rPr>
          <w:b w:val="0"/>
          <w:sz w:val="20"/>
        </w:rPr>
        <w:t>.</w:t>
      </w:r>
      <w:r w:rsidRPr="006361ED">
        <w:rPr>
          <w:b w:val="0"/>
          <w:sz w:val="20"/>
        </w:rPr>
        <w:t xml:space="preserve"> </w:t>
      </w:r>
    </w:p>
    <w:p w14:paraId="3BE56AB3" w14:textId="77777777" w:rsidR="00897FFC" w:rsidRDefault="00897FFC" w:rsidP="00C418D9"/>
    <w:p w14:paraId="5F53D876" w14:textId="6A866067" w:rsidR="00242725" w:rsidRPr="00242725" w:rsidRDefault="00897FFC" w:rsidP="00C418D9">
      <w:r>
        <w:t>In this contribution, we discuss these design aspects and provide corresponding analyses and proposals</w:t>
      </w:r>
      <w:r w:rsidR="00EA6DBE">
        <w:t>.</w:t>
      </w:r>
    </w:p>
    <w:p w14:paraId="01D5C5C2" w14:textId="5289F913" w:rsidR="00B559A2" w:rsidRPr="00985B1D" w:rsidRDefault="00897FFC" w:rsidP="00985B1D">
      <w:pPr>
        <w:pStyle w:val="Heading1"/>
        <w:numPr>
          <w:ilvl w:val="0"/>
          <w:numId w:val="3"/>
        </w:numPr>
      </w:pPr>
      <w:r>
        <w:t>NR-U DRS</w:t>
      </w:r>
    </w:p>
    <w:p w14:paraId="68F96C9A" w14:textId="7EF937ED" w:rsidR="00C00336" w:rsidRPr="00C418D9" w:rsidRDefault="00C00336" w:rsidP="00C418D9">
      <w:r w:rsidRPr="00C418D9">
        <w:t>To minimize changes with respect to NR</w:t>
      </w:r>
      <w:r w:rsidR="00E41CE1" w:rsidRPr="00C418D9">
        <w:t>,</w:t>
      </w:r>
      <w:r w:rsidRPr="00C418D9">
        <w:t xml:space="preserve"> it is desirable to </w:t>
      </w:r>
      <w:r w:rsidR="00E41CE1" w:rsidRPr="00C418D9">
        <w:t>build</w:t>
      </w:r>
      <w:r w:rsidRPr="00C418D9">
        <w:t xml:space="preserve"> the </w:t>
      </w:r>
      <w:r w:rsidR="00D54AB3">
        <w:t xml:space="preserve">NR-U DRS </w:t>
      </w:r>
      <w:r w:rsidRPr="00C418D9">
        <w:t xml:space="preserve">waveforms </w:t>
      </w:r>
      <w:r w:rsidR="00675837">
        <w:t>based on</w:t>
      </w:r>
      <w:r w:rsidR="00E41CE1" w:rsidRPr="00C418D9">
        <w:t xml:space="preserve"> NR waveforms.</w:t>
      </w:r>
    </w:p>
    <w:p w14:paraId="10BCB698" w14:textId="77777777" w:rsidR="000F5136" w:rsidRDefault="000F5136" w:rsidP="000F5136">
      <w:r>
        <w:t>In RAN1#93 the following was agreed with respect to SSB:</w:t>
      </w:r>
    </w:p>
    <w:p w14:paraId="32B5A06A" w14:textId="77777777" w:rsidR="000F5136" w:rsidRPr="001211DA" w:rsidRDefault="000F5136" w:rsidP="00527B28">
      <w:pPr>
        <w:widowControl/>
        <w:numPr>
          <w:ilvl w:val="0"/>
          <w:numId w:val="11"/>
        </w:numPr>
        <w:wordWrap/>
        <w:overflowPunct/>
        <w:autoSpaceDE/>
        <w:autoSpaceDN/>
        <w:adjustRightInd/>
        <w:spacing w:after="0"/>
        <w:jc w:val="left"/>
        <w:textAlignment w:val="auto"/>
        <w:rPr>
          <w:lang w:eastAsia="x-none"/>
        </w:rPr>
      </w:pPr>
      <w:r w:rsidRPr="001211DA">
        <w:rPr>
          <w:lang w:eastAsia="x-none"/>
        </w:rPr>
        <w:t>NR-U should have a signal that contains at least SS/PBCH block burst set transmission</w:t>
      </w:r>
    </w:p>
    <w:p w14:paraId="7CD7C903"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FFS: Other channels and signals transmitted together as part of the signal</w:t>
      </w:r>
    </w:p>
    <w:p w14:paraId="7D47755E" w14:textId="77777777" w:rsidR="000F5136" w:rsidRPr="001211DA" w:rsidRDefault="000F5136" w:rsidP="00527B28">
      <w:pPr>
        <w:widowControl/>
        <w:numPr>
          <w:ilvl w:val="0"/>
          <w:numId w:val="11"/>
        </w:numPr>
        <w:wordWrap/>
        <w:overflowPunct/>
        <w:autoSpaceDE/>
        <w:autoSpaceDN/>
        <w:adjustRightInd/>
        <w:spacing w:after="0"/>
        <w:jc w:val="left"/>
        <w:textAlignment w:val="auto"/>
        <w:rPr>
          <w:lang w:eastAsia="x-none"/>
        </w:rPr>
      </w:pPr>
      <w:r w:rsidRPr="001211DA">
        <w:rPr>
          <w:lang w:eastAsia="x-none"/>
        </w:rPr>
        <w:t>The design of this signal should consider the following characteristics specific to unlicensed band operation</w:t>
      </w:r>
    </w:p>
    <w:p w14:paraId="396E8BF6" w14:textId="77777777" w:rsidR="000F5136"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60FC3D19" w14:textId="77777777" w:rsidR="000F5136" w:rsidRPr="001211DA" w:rsidRDefault="000F5136" w:rsidP="00527B28">
      <w:pPr>
        <w:widowControl/>
        <w:numPr>
          <w:ilvl w:val="2"/>
          <w:numId w:val="11"/>
        </w:numPr>
        <w:wordWrap/>
        <w:overflowPunct/>
        <w:autoSpaceDE/>
        <w:autoSpaceDN/>
        <w:adjustRightInd/>
        <w:spacing w:after="0"/>
        <w:jc w:val="left"/>
        <w:textAlignment w:val="auto"/>
        <w:rPr>
          <w:lang w:eastAsia="x-none"/>
        </w:rPr>
      </w:pPr>
      <w:r>
        <w:rPr>
          <w:lang w:eastAsia="x-none"/>
        </w:rPr>
        <w:t>FFS: Whether any gaps are needed for beam switching and, if needed, their duration</w:t>
      </w:r>
    </w:p>
    <w:p w14:paraId="47C0D507"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The occupied channel bandwidth is satisfied (although this may not be a requirement)</w:t>
      </w:r>
    </w:p>
    <w:p w14:paraId="4BB94B6D" w14:textId="77777777" w:rsidR="000F5136" w:rsidRPr="001211DA" w:rsidRDefault="000F5136" w:rsidP="00527B28">
      <w:pPr>
        <w:widowControl/>
        <w:numPr>
          <w:ilvl w:val="1"/>
          <w:numId w:val="11"/>
        </w:numPr>
        <w:wordWrap/>
        <w:overflowPunct/>
        <w:autoSpaceDE/>
        <w:autoSpaceDN/>
        <w:adjustRightInd/>
        <w:spacing w:after="0"/>
        <w:jc w:val="left"/>
        <w:textAlignment w:val="auto"/>
        <w:rPr>
          <w:lang w:eastAsia="x-none"/>
        </w:rPr>
      </w:pPr>
      <w:r w:rsidRPr="001211DA">
        <w:rPr>
          <w:lang w:eastAsia="x-none"/>
        </w:rPr>
        <w:t>Strive to minimize the channel occupancy time of the signal</w:t>
      </w:r>
    </w:p>
    <w:p w14:paraId="1E8F854B" w14:textId="77777777" w:rsidR="000F5136" w:rsidRPr="001211DA" w:rsidRDefault="000F5136" w:rsidP="00527B28">
      <w:pPr>
        <w:widowControl/>
        <w:numPr>
          <w:ilvl w:val="1"/>
          <w:numId w:val="11"/>
        </w:numPr>
        <w:wordWrap/>
        <w:overflowPunct/>
        <w:autoSpaceDE/>
        <w:autoSpaceDN/>
        <w:adjustRightInd/>
        <w:spacing w:after="0"/>
        <w:jc w:val="left"/>
        <w:textAlignment w:val="auto"/>
      </w:pPr>
      <w:r w:rsidRPr="001211DA">
        <w:rPr>
          <w:lang w:eastAsia="x-none"/>
        </w:rPr>
        <w:t>Characteristics that may facilitate fast channel access</w:t>
      </w:r>
    </w:p>
    <w:p w14:paraId="51C6F256" w14:textId="77777777" w:rsidR="008E1472" w:rsidRDefault="008E1472" w:rsidP="002008B9"/>
    <w:p w14:paraId="2F507D58" w14:textId="4C17D230" w:rsidR="007D338D" w:rsidRDefault="002008B9" w:rsidP="002008B9">
      <w:r>
        <w:t xml:space="preserve">In NR, the initial acquisition and initial access only define 15Khz and 30Khz.  For SSB transmission, due to the PSD limit, the performance of an SSB with 30Khz SCS yields similar performance as an SSB with 60Khz SCS with low delay spread channel. This is shown </w:t>
      </w:r>
      <w:r w:rsidRPr="007D03A7">
        <w:t xml:space="preserve">in </w:t>
      </w:r>
      <w:r w:rsidR="00B438DE">
        <w:fldChar w:fldCharType="begin"/>
      </w:r>
      <w:r w:rsidR="00B438DE">
        <w:instrText xml:space="preserve"> REF _Ref521674581 \h </w:instrText>
      </w:r>
      <w:r w:rsidR="00B438DE">
        <w:fldChar w:fldCharType="separate"/>
      </w:r>
      <w:r w:rsidR="005368CB">
        <w:t xml:space="preserve">Figure </w:t>
      </w:r>
      <w:r w:rsidR="005368CB">
        <w:rPr>
          <w:noProof/>
        </w:rPr>
        <w:t>1</w:t>
      </w:r>
      <w:r w:rsidR="00B438DE">
        <w:fldChar w:fldCharType="end"/>
      </w:r>
      <w:r w:rsidR="00B438DE">
        <w:t xml:space="preserve"> </w:t>
      </w:r>
      <w:r>
        <w:t>and</w:t>
      </w:r>
      <w:r w:rsidR="00B438DE">
        <w:t xml:space="preserve"> </w:t>
      </w:r>
      <w:r w:rsidR="00B438DE">
        <w:fldChar w:fldCharType="begin"/>
      </w:r>
      <w:r w:rsidR="00B438DE">
        <w:instrText xml:space="preserve"> REF _Ref521674572 \h </w:instrText>
      </w:r>
      <w:r w:rsidR="00B438DE">
        <w:fldChar w:fldCharType="separate"/>
      </w:r>
      <w:r w:rsidR="005368CB">
        <w:t xml:space="preserve">Figure </w:t>
      </w:r>
      <w:r w:rsidR="005368CB">
        <w:rPr>
          <w:noProof/>
        </w:rPr>
        <w:t>2</w:t>
      </w:r>
      <w:r w:rsidR="00B438DE">
        <w:fldChar w:fldCharType="end"/>
      </w:r>
      <w:r>
        <w:t xml:space="preserve">. </w:t>
      </w:r>
    </w:p>
    <w:p w14:paraId="2D78A0E2" w14:textId="66AEC11C" w:rsidR="002008B9" w:rsidRDefault="002008B9" w:rsidP="002008B9">
      <w:r>
        <w:t>With 60Khz SCS for SSB, the SSB detection complexity is increased due to the increased SSB transmission bandwidth compared to 30Khz SCS. The additional signa</w:t>
      </w:r>
      <w:r w:rsidR="0000016E">
        <w:t>l</w:t>
      </w:r>
      <w:r>
        <w:t>ling change may also be required in PBCH when the 60Khz SCS is added for the initial acquisition. On the other hand, the 60Khz SCS for both SSB and data allows easier channel multiplexing from gNB’s transmission.</w:t>
      </w:r>
      <w:r w:rsidR="00BD10C6">
        <w:t xml:space="preserve"> It also allows less time </w:t>
      </w:r>
      <w:r w:rsidR="004716CF">
        <w:t xml:space="preserve">span </w:t>
      </w:r>
      <w:r w:rsidR="00BD10C6">
        <w:t xml:space="preserve">for SSB </w:t>
      </w:r>
      <w:r w:rsidR="00B438DE">
        <w:t xml:space="preserve">burst set </w:t>
      </w:r>
      <w:r w:rsidR="00BD10C6">
        <w:t>transmission, which is more beneficial</w:t>
      </w:r>
      <w:r w:rsidR="004716CF">
        <w:t xml:space="preserve"> for DRS transmission with shorter duration </w:t>
      </w:r>
      <w:r w:rsidR="00113347">
        <w:t xml:space="preserve">for low LBT category </w:t>
      </w:r>
      <w:r w:rsidR="00864AD3">
        <w:t>(1ms can fit 8 SSBs with 60Khz SCS)</w:t>
      </w:r>
      <w:r w:rsidR="00BD10C6">
        <w:t>.</w:t>
      </w:r>
      <w:r w:rsidR="008E1472">
        <w:t xml:space="preserve"> On the other hand, if RMSI needs to be delivered, and there is limited resource to FDM RSMI PDSCH with SSBs within 20MHz b</w:t>
      </w:r>
      <w:r w:rsidR="00572A50">
        <w:t xml:space="preserve">andwidth, the DRS to transmit 8 SSBs may not be always shorter than 1ms. </w:t>
      </w:r>
      <w:r w:rsidR="000577D3">
        <w:t xml:space="preserve">It was also agreed in RAN1 #94bis that for unlicensed PCell, the UE assumes single SSB numerology per band. Since 30KHz SCS SSB is already defined in NR Rel.15, it is straightforward to use 30KHz SCS for cell defining SSBs. </w:t>
      </w:r>
      <w:r w:rsidR="00572A50">
        <w:t>As a result, the benefit of supporting shorter DRS burst using 60KHz SCS SSB is more obvious when the SSBs are not cell defining.</w:t>
      </w:r>
    </w:p>
    <w:p w14:paraId="07C0BCE5" w14:textId="77777777" w:rsidR="002008B9" w:rsidRDefault="002008B9" w:rsidP="00BB496F">
      <w:pPr>
        <w:jc w:val="center"/>
      </w:pPr>
      <w:r>
        <w:rPr>
          <w:noProof/>
          <w:lang w:val="en-US" w:eastAsia="en-US"/>
        </w:rPr>
        <w:lastRenderedPageBreak/>
        <w:drawing>
          <wp:inline distT="0" distB="0" distL="0" distR="0" wp14:anchorId="490DF705" wp14:editId="37CA69F0">
            <wp:extent cx="5017477" cy="2562811"/>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5024384" cy="2566339"/>
                    </a:xfrm>
                    <a:prstGeom prst="rect">
                      <a:avLst/>
                    </a:prstGeom>
                  </pic:spPr>
                </pic:pic>
              </a:graphicData>
            </a:graphic>
          </wp:inline>
        </w:drawing>
      </w:r>
    </w:p>
    <w:p w14:paraId="081B58EA" w14:textId="11CB49AE" w:rsidR="002008B9" w:rsidRDefault="002008B9" w:rsidP="00BB496F">
      <w:pPr>
        <w:pStyle w:val="Caption"/>
        <w:jc w:val="center"/>
      </w:pPr>
      <w:bookmarkStart w:id="4" w:name="_Ref521674581"/>
      <w:r>
        <w:t xml:space="preserve">Figure </w:t>
      </w:r>
      <w:r>
        <w:fldChar w:fldCharType="begin"/>
      </w:r>
      <w:r>
        <w:instrText xml:space="preserve"> SEQ Figure \* ARABIC </w:instrText>
      </w:r>
      <w:r>
        <w:fldChar w:fldCharType="separate"/>
      </w:r>
      <w:r w:rsidR="005368CB">
        <w:rPr>
          <w:noProof/>
        </w:rPr>
        <w:t>1</w:t>
      </w:r>
      <w:r>
        <w:rPr>
          <w:noProof/>
        </w:rPr>
        <w:fldChar w:fldCharType="end"/>
      </w:r>
      <w:bookmarkEnd w:id="4"/>
      <w:r>
        <w:rPr>
          <w:noProof/>
        </w:rPr>
        <w:t>.</w:t>
      </w:r>
      <w:r>
        <w:t xml:space="preserve"> SSB detection performance with 60Khz SCS</w:t>
      </w:r>
    </w:p>
    <w:p w14:paraId="1C2EB392" w14:textId="77777777" w:rsidR="002008B9" w:rsidRDefault="002008B9" w:rsidP="00BB496F">
      <w:pPr>
        <w:jc w:val="center"/>
      </w:pPr>
      <w:r>
        <w:rPr>
          <w:noProof/>
          <w:lang w:val="en-US" w:eastAsia="en-US"/>
        </w:rPr>
        <w:drawing>
          <wp:inline distT="0" distB="0" distL="0" distR="0" wp14:anchorId="6B4EDDF9" wp14:editId="4BA685BA">
            <wp:extent cx="5205046" cy="2658617"/>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5213668" cy="2663021"/>
                    </a:xfrm>
                    <a:prstGeom prst="rect">
                      <a:avLst/>
                    </a:prstGeom>
                  </pic:spPr>
                </pic:pic>
              </a:graphicData>
            </a:graphic>
          </wp:inline>
        </w:drawing>
      </w:r>
    </w:p>
    <w:p w14:paraId="46ABA21C" w14:textId="70F5C40B" w:rsidR="002008B9" w:rsidRDefault="002008B9" w:rsidP="00BB496F">
      <w:pPr>
        <w:pStyle w:val="Caption"/>
        <w:jc w:val="center"/>
      </w:pPr>
      <w:bookmarkStart w:id="5" w:name="_Ref521674572"/>
      <w:r>
        <w:t xml:space="preserve">Figure </w:t>
      </w:r>
      <w:r>
        <w:fldChar w:fldCharType="begin"/>
      </w:r>
      <w:r>
        <w:instrText xml:space="preserve"> SEQ Figure \* ARABIC </w:instrText>
      </w:r>
      <w:r>
        <w:fldChar w:fldCharType="separate"/>
      </w:r>
      <w:r w:rsidR="005368CB">
        <w:rPr>
          <w:noProof/>
        </w:rPr>
        <w:t>2</w:t>
      </w:r>
      <w:r>
        <w:rPr>
          <w:noProof/>
        </w:rPr>
        <w:fldChar w:fldCharType="end"/>
      </w:r>
      <w:bookmarkEnd w:id="5"/>
      <w:r>
        <w:rPr>
          <w:noProof/>
        </w:rPr>
        <w:t>.</w:t>
      </w:r>
      <w:r>
        <w:t xml:space="preserve"> SSB detection performance with 30Khz SCS</w:t>
      </w:r>
    </w:p>
    <w:p w14:paraId="1B1D2A12" w14:textId="6E27D571" w:rsidR="00E82DB4" w:rsidRDefault="002008B9" w:rsidP="00BB496F">
      <w:r>
        <w:t>Based on the above simulations, we can make the following observations</w:t>
      </w:r>
      <w:r w:rsidR="00B438DE">
        <w:t xml:space="preserve">: </w:t>
      </w:r>
      <w:r w:rsidR="00F53A05">
        <w:t>i</w:t>
      </w:r>
      <w:r w:rsidR="005D1388">
        <w:t xml:space="preserve">t </w:t>
      </w:r>
      <w:r w:rsidR="00B438DE">
        <w:t xml:space="preserve">is </w:t>
      </w:r>
      <w:r w:rsidR="005D1388">
        <w:t xml:space="preserve">beneficial to </w:t>
      </w:r>
      <w:r w:rsidR="00B438DE">
        <w:t>support</w:t>
      </w:r>
      <w:r w:rsidR="005D1388">
        <w:t xml:space="preserve"> both 30Khz and 60Khz SCS for SSB transmission to consider different use cases. </w:t>
      </w:r>
      <w:r w:rsidR="000577D3">
        <w:t>However, the 60KHz SCS SSB, if supported, can be designed for non-cell defining SSB only.</w:t>
      </w:r>
    </w:p>
    <w:p w14:paraId="4F7965D6" w14:textId="77777777" w:rsidR="00E82DB4" w:rsidRDefault="00E82DB4" w:rsidP="002008B9">
      <w:pPr>
        <w:pStyle w:val="proposal"/>
      </w:pPr>
    </w:p>
    <w:p w14:paraId="081281E6" w14:textId="12EEF96B" w:rsidR="002008B9" w:rsidRDefault="002008B9" w:rsidP="002008B9">
      <w:pPr>
        <w:pStyle w:val="proposal"/>
      </w:pPr>
      <w:bookmarkStart w:id="6" w:name="a"/>
      <w:r w:rsidRPr="00C418D9">
        <w:t xml:space="preserve">Observation </w:t>
      </w:r>
      <w:r>
        <w:rPr>
          <w:noProof/>
        </w:rPr>
        <w:fldChar w:fldCharType="begin"/>
      </w:r>
      <w:r>
        <w:rPr>
          <w:noProof/>
        </w:rPr>
        <w:instrText xml:space="preserve"> seq prop </w:instrText>
      </w:r>
      <w:r>
        <w:rPr>
          <w:noProof/>
        </w:rPr>
        <w:fldChar w:fldCharType="separate"/>
      </w:r>
      <w:r w:rsidR="005368CB">
        <w:rPr>
          <w:noProof/>
        </w:rPr>
        <w:t>1</w:t>
      </w:r>
      <w:r>
        <w:rPr>
          <w:noProof/>
        </w:rPr>
        <w:fldChar w:fldCharType="end"/>
      </w:r>
      <w:r w:rsidRPr="00C418D9">
        <w:t xml:space="preserve">: SCS for SSB in NR-U </w:t>
      </w:r>
      <w:r>
        <w:t>SUB-7GHZ BAND</w:t>
      </w:r>
      <w:r w:rsidRPr="00C418D9">
        <w:t xml:space="preserve"> should consider the trade-off on the performance, implementation complexity</w:t>
      </w:r>
      <w:r w:rsidR="005D1388">
        <w:t>, signaling change</w:t>
      </w:r>
      <w:r w:rsidR="00B438DE">
        <w:t xml:space="preserve"> </w:t>
      </w:r>
      <w:r w:rsidRPr="00C418D9">
        <w:t>on top of NR</w:t>
      </w:r>
      <w:r w:rsidR="00B438DE">
        <w:t xml:space="preserve"> as well as the LBT </w:t>
      </w:r>
      <w:r w:rsidR="00E82DB4">
        <w:t>impact</w:t>
      </w:r>
      <w:r w:rsidRPr="00C418D9">
        <w:t xml:space="preserve">. </w:t>
      </w:r>
      <w:r w:rsidR="00B438DE">
        <w:t>It is</w:t>
      </w:r>
      <w:r w:rsidR="005D1388">
        <w:t xml:space="preserve"> </w:t>
      </w:r>
      <w:r w:rsidR="00E82DB4">
        <w:t xml:space="preserve">in general </w:t>
      </w:r>
      <w:r w:rsidR="005D1388">
        <w:t>beneficial</w:t>
      </w:r>
      <w:r w:rsidR="000A5816">
        <w:t xml:space="preserve"> to </w:t>
      </w:r>
      <w:r w:rsidR="00B438DE">
        <w:t>support</w:t>
      </w:r>
      <w:r w:rsidR="000A5816">
        <w:t xml:space="preserve"> both 30Khz SCS and 60Khz SCS for SSB transmissions</w:t>
      </w:r>
      <w:r w:rsidR="00E82DB4">
        <w:t xml:space="preserve"> for different use case</w:t>
      </w:r>
      <w:r w:rsidR="000577D3">
        <w:t>, while 60 KHz SCS SSB is defined for non-cell defining SSBs only.</w:t>
      </w:r>
    </w:p>
    <w:bookmarkEnd w:id="6"/>
    <w:p w14:paraId="01C3859A" w14:textId="77777777" w:rsidR="00E82DB4" w:rsidRDefault="00E82DB4" w:rsidP="005D1388">
      <w:pPr>
        <w:pStyle w:val="proposal"/>
      </w:pPr>
    </w:p>
    <w:p w14:paraId="7EF03083" w14:textId="2B8B2D66" w:rsidR="005D1388" w:rsidRDefault="005D1388" w:rsidP="005D1388">
      <w:pPr>
        <w:pStyle w:val="proposal"/>
      </w:pPr>
      <w:bookmarkStart w:id="7" w:name="b"/>
      <w:r w:rsidRPr="00C418D9">
        <w:t xml:space="preserve">Proposal </w:t>
      </w:r>
      <w:r w:rsidR="005368CB">
        <w:fldChar w:fldCharType="begin"/>
      </w:r>
      <w:r w:rsidR="005368CB">
        <w:instrText xml:space="preserve"> seq prop </w:instrText>
      </w:r>
      <w:r w:rsidR="005368CB">
        <w:fldChar w:fldCharType="separate"/>
      </w:r>
      <w:r w:rsidR="005368CB">
        <w:rPr>
          <w:noProof/>
        </w:rPr>
        <w:t>2</w:t>
      </w:r>
      <w:r w:rsidR="005368CB">
        <w:rPr>
          <w:noProof/>
        </w:rPr>
        <w:fldChar w:fldCharType="end"/>
      </w:r>
      <w:r w:rsidRPr="00C418D9">
        <w:t>: SSB transmission</w:t>
      </w:r>
      <w:r>
        <w:t xml:space="preserve"> with 60Khz SCS</w:t>
      </w:r>
      <w:r w:rsidRPr="00C418D9">
        <w:t xml:space="preserve"> </w:t>
      </w:r>
      <w:r w:rsidR="00FD52DD">
        <w:t>can be</w:t>
      </w:r>
      <w:r w:rsidR="00E82DB4">
        <w:t xml:space="preserve"> considered for NR-U</w:t>
      </w:r>
      <w:r w:rsidR="000577D3">
        <w:t xml:space="preserve"> for non-cell defining SSB</w:t>
      </w:r>
      <w:r w:rsidR="000A5816">
        <w:t>.</w:t>
      </w:r>
    </w:p>
    <w:bookmarkEnd w:id="7"/>
    <w:p w14:paraId="23DD20F0" w14:textId="77777777" w:rsidR="00E82DB4" w:rsidRDefault="00E82DB4" w:rsidP="005D1388">
      <w:pPr>
        <w:pStyle w:val="proposal"/>
      </w:pPr>
    </w:p>
    <w:p w14:paraId="37A49F7B" w14:textId="042B00BD" w:rsidR="00AC1525" w:rsidRDefault="00AC1525" w:rsidP="000C6316">
      <w:pPr>
        <w:rPr>
          <w:lang w:eastAsia="en-US"/>
        </w:rPr>
      </w:pPr>
      <w:r>
        <w:t>In RAN1#93 the following was agreed with respect to the initial DL/UL BWP in NR-U:</w:t>
      </w:r>
    </w:p>
    <w:p w14:paraId="7145B9F5" w14:textId="77777777" w:rsidR="00AC1525" w:rsidRDefault="00AC1525" w:rsidP="00527B28">
      <w:pPr>
        <w:pStyle w:val="ListParagraph"/>
        <w:numPr>
          <w:ilvl w:val="0"/>
          <w:numId w:val="12"/>
        </w:numPr>
        <w:overflowPunct/>
        <w:adjustRightInd/>
        <w:spacing w:after="0" w:line="259" w:lineRule="auto"/>
        <w:contextualSpacing/>
        <w:textAlignment w:val="auto"/>
      </w:pPr>
      <w:r>
        <w:t>Initial active DL/UL BWP is approximately 20MHz for 5GHz band</w:t>
      </w:r>
    </w:p>
    <w:p w14:paraId="1AFBEC6F" w14:textId="77777777" w:rsidR="00AC1525" w:rsidRDefault="00AC1525" w:rsidP="00527B28">
      <w:pPr>
        <w:pStyle w:val="ListParagraph"/>
        <w:numPr>
          <w:ilvl w:val="1"/>
          <w:numId w:val="12"/>
        </w:numPr>
        <w:overflowPunct/>
        <w:adjustRightInd/>
        <w:spacing w:after="0" w:line="259" w:lineRule="auto"/>
        <w:contextualSpacing/>
        <w:textAlignment w:val="auto"/>
      </w:pPr>
      <w:r>
        <w:t>The final value will be quantized to number of PRBs</w:t>
      </w:r>
    </w:p>
    <w:p w14:paraId="4DAA1EB0" w14:textId="77777777" w:rsidR="00AC1525" w:rsidRDefault="00AC1525" w:rsidP="00527B28">
      <w:pPr>
        <w:pStyle w:val="ListParagraph"/>
        <w:numPr>
          <w:ilvl w:val="0"/>
          <w:numId w:val="12"/>
        </w:numPr>
        <w:overflowPunct/>
        <w:adjustRightInd/>
        <w:spacing w:after="0" w:line="259" w:lineRule="auto"/>
        <w:contextualSpacing/>
        <w:textAlignment w:val="auto"/>
      </w:pPr>
      <w:r>
        <w:t>Initial active DL/UL BWP is approximately 20MHz for 6GHz band if similar channelization as 5GHz band is used for 6GHz band</w:t>
      </w:r>
    </w:p>
    <w:p w14:paraId="126820E7" w14:textId="77777777" w:rsidR="00AC1525" w:rsidRDefault="00AC1525" w:rsidP="00527B28">
      <w:pPr>
        <w:pStyle w:val="ListParagraph"/>
        <w:numPr>
          <w:ilvl w:val="0"/>
          <w:numId w:val="12"/>
        </w:numPr>
        <w:overflowPunct/>
        <w:adjustRightInd/>
        <w:spacing w:after="0" w:line="259" w:lineRule="auto"/>
        <w:contextualSpacing/>
        <w:textAlignment w:val="auto"/>
      </w:pPr>
      <w:r>
        <w:t>FFS: Initial active DL/UL BWP for other applicable bands, including 60GHz</w:t>
      </w:r>
    </w:p>
    <w:p w14:paraId="0EDABF06" w14:textId="77777777" w:rsidR="00ED43F6" w:rsidRDefault="00ED43F6" w:rsidP="007D338D"/>
    <w:p w14:paraId="102B5B29" w14:textId="2B8E07E3" w:rsidR="005C7BA6" w:rsidRDefault="007D338D" w:rsidP="007D338D">
      <w:r>
        <w:t xml:space="preserve">With 30Khz SCS, the SSB does not occupy the entire </w:t>
      </w:r>
      <w:r w:rsidR="00BD10C6">
        <w:t>initial BWP</w:t>
      </w:r>
      <w:r>
        <w:t xml:space="preserve"> and </w:t>
      </w:r>
      <w:r w:rsidR="00BD10C6">
        <w:t>it is beneficial to allow RMSI to be multiplexed with SSB in frequency domain</w:t>
      </w:r>
      <w:r>
        <w:t>.</w:t>
      </w:r>
      <w:r w:rsidR="00BD10C6">
        <w:t xml:space="preserve"> In NR, </w:t>
      </w:r>
      <w:r w:rsidR="005C7BA6">
        <w:t>TDM multiplexing</w:t>
      </w:r>
      <w:r w:rsidR="00BD10C6">
        <w:t xml:space="preserve"> </w:t>
      </w:r>
      <w:r w:rsidR="00310591">
        <w:t xml:space="preserve">of </w:t>
      </w:r>
      <w:r w:rsidR="00FC0EE8">
        <w:t xml:space="preserve">SSB and </w:t>
      </w:r>
      <w:r w:rsidR="005C7BA6">
        <w:t>RMSI coreset is supported and FDM of RMSI PDSCH and SSB is supported by scheduling decision and default PDSCH SLIV configuration. However, more flexibility in the PDSCH SLIV configuration might be needed to naturally support SSB/RMSI coreset/RMSI PDSCH delivery with no gap in the transmission.</w:t>
      </w:r>
    </w:p>
    <w:p w14:paraId="0D3D0AB9" w14:textId="0A0F2F7B" w:rsidR="005C7BA6" w:rsidRPr="005C7BA6" w:rsidRDefault="005C7BA6" w:rsidP="007D338D">
      <w:pPr>
        <w:rPr>
          <w:b/>
        </w:rPr>
      </w:pPr>
      <w:bookmarkStart w:id="8" w:name="c"/>
      <w:r>
        <w:rPr>
          <w:b/>
        </w:rPr>
        <w:t xml:space="preserve">Proposal </w:t>
      </w:r>
      <w:r>
        <w:rPr>
          <w:b/>
        </w:rPr>
        <w:fldChar w:fldCharType="begin"/>
      </w:r>
      <w:r>
        <w:rPr>
          <w:b/>
        </w:rPr>
        <w:instrText xml:space="preserve"> seq prop </w:instrText>
      </w:r>
      <w:r>
        <w:rPr>
          <w:b/>
        </w:rPr>
        <w:fldChar w:fldCharType="separate"/>
      </w:r>
      <w:r w:rsidR="005368CB">
        <w:rPr>
          <w:b/>
          <w:noProof/>
        </w:rPr>
        <w:t>3</w:t>
      </w:r>
      <w:r>
        <w:rPr>
          <w:b/>
        </w:rPr>
        <w:fldChar w:fldCharType="end"/>
      </w:r>
      <w:r>
        <w:rPr>
          <w:b/>
        </w:rPr>
        <w:t xml:space="preserve">: </w:t>
      </w:r>
      <w:r w:rsidRPr="005C7BA6">
        <w:rPr>
          <w:b/>
        </w:rPr>
        <w:t>Enhance default PDSCH SLIV table to support continuous DRS delivery</w:t>
      </w:r>
      <w:r>
        <w:rPr>
          <w:b/>
        </w:rPr>
        <w:t>.</w:t>
      </w:r>
    </w:p>
    <w:bookmarkEnd w:id="8"/>
    <w:p w14:paraId="6ED163A5" w14:textId="77777777" w:rsidR="00513711" w:rsidRDefault="00513711" w:rsidP="00303E4E">
      <w:pPr>
        <w:pStyle w:val="proposal"/>
      </w:pPr>
    </w:p>
    <w:p w14:paraId="14806582" w14:textId="73DD7095" w:rsidR="00455E2A" w:rsidRDefault="00455E2A" w:rsidP="000577D3">
      <w:pPr>
        <w:pStyle w:val="Heading1"/>
      </w:pPr>
      <w:r>
        <w:t>Initial Signal</w:t>
      </w:r>
    </w:p>
    <w:p w14:paraId="1DB30183" w14:textId="77777777" w:rsidR="00455E2A" w:rsidRDefault="00455E2A" w:rsidP="00455E2A">
      <w:pPr>
        <w:rPr>
          <w:lang w:eastAsia="en-US"/>
        </w:rPr>
      </w:pPr>
      <w:r>
        <w:t>In RAN1#93 the following was agreed with respect to the initial access procedure in NR-U:</w:t>
      </w:r>
    </w:p>
    <w:p w14:paraId="774DD069" w14:textId="77777777" w:rsidR="00455E2A" w:rsidRDefault="00455E2A" w:rsidP="00527B28">
      <w:pPr>
        <w:pStyle w:val="bullet"/>
        <w:numPr>
          <w:ilvl w:val="0"/>
          <w:numId w:val="15"/>
        </w:numPr>
        <w:ind w:left="720"/>
      </w:pPr>
      <w:r>
        <w:t xml:space="preserve">Benefits of using a signal that facilitates its detection with low complexity can be investigated including all/part of the following scenarios/use cases: </w:t>
      </w:r>
    </w:p>
    <w:p w14:paraId="7F413378" w14:textId="77777777" w:rsidR="00455E2A" w:rsidRDefault="00455E2A" w:rsidP="00527B28">
      <w:pPr>
        <w:pStyle w:val="bullet"/>
        <w:numPr>
          <w:ilvl w:val="1"/>
          <w:numId w:val="15"/>
        </w:numPr>
        <w:ind w:firstLine="400"/>
      </w:pPr>
      <w:r>
        <w:t>UE power saving</w:t>
      </w:r>
    </w:p>
    <w:p w14:paraId="03606F05" w14:textId="77777777" w:rsidR="00455E2A" w:rsidRDefault="00455E2A" w:rsidP="00527B28">
      <w:pPr>
        <w:pStyle w:val="bullet"/>
        <w:numPr>
          <w:ilvl w:val="1"/>
          <w:numId w:val="15"/>
        </w:numPr>
        <w:ind w:firstLine="400"/>
      </w:pPr>
      <w:r>
        <w:t>Improved coexistence</w:t>
      </w:r>
    </w:p>
    <w:p w14:paraId="258FC000" w14:textId="77777777" w:rsidR="00455E2A" w:rsidRDefault="00455E2A" w:rsidP="00527B28">
      <w:pPr>
        <w:pStyle w:val="bullet"/>
        <w:numPr>
          <w:ilvl w:val="1"/>
          <w:numId w:val="15"/>
        </w:numPr>
        <w:ind w:firstLine="400"/>
      </w:pPr>
      <w:r>
        <w:t xml:space="preserve">Spatial reuse at least within the same operator network </w:t>
      </w:r>
    </w:p>
    <w:p w14:paraId="16C587C9" w14:textId="77777777" w:rsidR="00455E2A" w:rsidRDefault="00455E2A" w:rsidP="00527B28">
      <w:pPr>
        <w:pStyle w:val="bullet"/>
        <w:numPr>
          <w:ilvl w:val="1"/>
          <w:numId w:val="15"/>
        </w:numPr>
        <w:ind w:firstLine="400"/>
      </w:pPr>
      <w:r>
        <w:t>Serving cell transmission burst acquisition</w:t>
      </w:r>
    </w:p>
    <w:p w14:paraId="32F6DDF2" w14:textId="77777777" w:rsidR="00455E2A" w:rsidRDefault="00455E2A" w:rsidP="00527B28">
      <w:pPr>
        <w:pStyle w:val="bullet"/>
        <w:numPr>
          <w:ilvl w:val="1"/>
          <w:numId w:val="15"/>
        </w:numPr>
        <w:ind w:firstLine="400"/>
      </w:pPr>
      <w:r>
        <w:t>FFS: further usage scenarios</w:t>
      </w:r>
    </w:p>
    <w:p w14:paraId="61C3557A" w14:textId="0C8BC9D8" w:rsidR="00455E2A" w:rsidRDefault="001E681C" w:rsidP="00FD52DD">
      <w:pPr>
        <w:wordWrap/>
        <w:rPr>
          <w:lang w:eastAsia="en-US"/>
        </w:rPr>
      </w:pPr>
      <w:r>
        <w:rPr>
          <w:lang w:eastAsia="en-US"/>
        </w:rPr>
        <w:t>In this section, we discuss the initial signal transmission where the initial signal consists of two parts: wake-up signa</w:t>
      </w:r>
      <w:r w:rsidR="00081133">
        <w:rPr>
          <w:lang w:eastAsia="en-US"/>
        </w:rPr>
        <w:t>l and</w:t>
      </w:r>
      <w:r>
        <w:rPr>
          <w:lang w:eastAsia="en-US"/>
        </w:rPr>
        <w:t xml:space="preserve"> channel usage indicator.</w:t>
      </w:r>
    </w:p>
    <w:p w14:paraId="5031C05D" w14:textId="1FAD91B8" w:rsidR="001E681C" w:rsidRDefault="001E681C" w:rsidP="00455E2A">
      <w:pPr>
        <w:rPr>
          <w:lang w:eastAsia="en-US"/>
        </w:rPr>
      </w:pPr>
    </w:p>
    <w:p w14:paraId="57FA1806" w14:textId="68BD7B55" w:rsidR="001E681C" w:rsidRPr="00F258F5" w:rsidRDefault="005368CB" w:rsidP="00F258F5">
      <w:pPr>
        <w:pStyle w:val="Heading2"/>
      </w:pPr>
      <w:r>
        <w:t>3</w:t>
      </w:r>
      <w:r w:rsidR="00F258F5">
        <w:t>.1</w:t>
      </w:r>
      <w:r w:rsidR="00081133" w:rsidRPr="00F258F5">
        <w:t xml:space="preserve"> </w:t>
      </w:r>
      <w:r w:rsidR="001E681C" w:rsidRPr="00F258F5">
        <w:t>DL Wake-up Signal (WUS)</w:t>
      </w:r>
    </w:p>
    <w:p w14:paraId="6CAFA0D2" w14:textId="77777777" w:rsidR="001E681C" w:rsidRDefault="001E681C" w:rsidP="001E681C">
      <w:r>
        <w:t>In this section, we discuss on introducing wake-up signal for UE power saving.</w:t>
      </w:r>
    </w:p>
    <w:p w14:paraId="6BB798F2" w14:textId="72B368BF" w:rsidR="00081133" w:rsidRDefault="00081133" w:rsidP="00081133">
      <w:r>
        <w:t>Due to the potential asynchronous LBT in NR-U, a node may gain medium access in the middle of a slot and may not want to defer its transmission till slot boundary. Mini-slot scheduling and monitoring have been discussed in NR-U to allow the transmission to start in the middle of a slot</w:t>
      </w:r>
      <w:r w:rsidR="00653548">
        <w:t xml:space="preserve"> to minimize the overall system overhead</w:t>
      </w:r>
      <w:r>
        <w:t>. However, if UE always monitors PDCCH at mini-slot granularity, the UE power consumption is significantly increased. I</w:t>
      </w:r>
      <w:r w:rsidR="001E681C">
        <w:t xml:space="preserve">t will be more energy efficient if the UE </w:t>
      </w:r>
      <w:r>
        <w:t xml:space="preserve">monitors the wake-up signal and upon detection of WUS, it proceeds to the PDCCH monitoring </w:t>
      </w:r>
      <w:r w:rsidR="00781E1C">
        <w:t>and</w:t>
      </w:r>
      <w:r>
        <w:t xml:space="preserve"> the WUS can be designed to allow low complexity detection. In addition, the WUS may not be aligned with symbol boundary with asynchronous neighbo</w:t>
      </w:r>
      <w:r w:rsidR="00D864B2">
        <w:t>u</w:t>
      </w:r>
      <w:r>
        <w:t xml:space="preserve">rs. </w:t>
      </w:r>
    </w:p>
    <w:p w14:paraId="7013CE70" w14:textId="77777777" w:rsidR="001E681C" w:rsidRDefault="001E681C" w:rsidP="001E681C">
      <w:r>
        <w:t>The use cases of WUS in NR-unlicensed include:</w:t>
      </w:r>
    </w:p>
    <w:p w14:paraId="42E37F32" w14:textId="77777777" w:rsidR="001E681C" w:rsidRDefault="001E681C" w:rsidP="00527B28">
      <w:pPr>
        <w:pStyle w:val="ListParagraph"/>
        <w:numPr>
          <w:ilvl w:val="0"/>
          <w:numId w:val="10"/>
        </w:numPr>
      </w:pPr>
      <w:r>
        <w:t>PDCCH monitoring power saving.</w:t>
      </w:r>
    </w:p>
    <w:p w14:paraId="2C937935" w14:textId="77777777" w:rsidR="001E681C" w:rsidRDefault="001E681C" w:rsidP="00527B28">
      <w:pPr>
        <w:pStyle w:val="ListParagraph"/>
        <w:numPr>
          <w:ilvl w:val="0"/>
          <w:numId w:val="10"/>
        </w:numPr>
      </w:pPr>
      <w:r>
        <w:t>More starting positions for TxOP without significantly impacting power consumption</w:t>
      </w:r>
    </w:p>
    <w:p w14:paraId="309DAA24" w14:textId="77777777" w:rsidR="001E681C" w:rsidRDefault="001E681C" w:rsidP="00527B28">
      <w:pPr>
        <w:pStyle w:val="ListParagraph"/>
        <w:numPr>
          <w:ilvl w:val="0"/>
          <w:numId w:val="10"/>
        </w:numPr>
      </w:pPr>
      <w:r>
        <w:t>Preamble for channel usage indicator transmission</w:t>
      </w:r>
    </w:p>
    <w:p w14:paraId="2B94F049" w14:textId="77777777" w:rsidR="001E681C" w:rsidRDefault="001E681C" w:rsidP="001E681C">
      <w:pPr>
        <w:jc w:val="center"/>
      </w:pPr>
      <w:r>
        <w:object w:dxaOrig="7209" w:dyaOrig="4348" w14:anchorId="27C56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80.75pt" o:ole="">
            <v:imagedata r:id="rId15" o:title="" croptop="5761f" cropbottom="5490f"/>
          </v:shape>
          <o:OLEObject Type="Embed" ProgID="Visio.Drawing.11" ShapeID="_x0000_i1025" DrawAspect="Content" ObjectID="_1602666240" r:id="rId16"/>
        </w:object>
      </w:r>
    </w:p>
    <w:p w14:paraId="0BD2E5C2" w14:textId="507AEA55" w:rsidR="001E681C" w:rsidRDefault="001E681C" w:rsidP="001E681C">
      <w:pPr>
        <w:pStyle w:val="Caption"/>
        <w:jc w:val="center"/>
      </w:pPr>
      <w:r>
        <w:t xml:space="preserve">Figure </w:t>
      </w:r>
      <w:r>
        <w:fldChar w:fldCharType="begin"/>
      </w:r>
      <w:r>
        <w:instrText xml:space="preserve"> SEQ Figure \* ARABIC </w:instrText>
      </w:r>
      <w:r>
        <w:fldChar w:fldCharType="separate"/>
      </w:r>
      <w:r w:rsidR="005368CB">
        <w:rPr>
          <w:noProof/>
        </w:rPr>
        <w:t>3</w:t>
      </w:r>
      <w:r>
        <w:fldChar w:fldCharType="end"/>
      </w:r>
      <w:r>
        <w:t>. WUS use case A: Wake up signal for PDCCH monitoring</w:t>
      </w:r>
    </w:p>
    <w:p w14:paraId="34C4F0A9" w14:textId="77777777" w:rsidR="001E681C" w:rsidRPr="00C97F7B" w:rsidRDefault="001E681C" w:rsidP="001E681C">
      <w:r>
        <w:lastRenderedPageBreak/>
        <w:t>For use case A, WUS helps to skip the PDCCH monitoring for better power saving. The PDCCH monitoring involves multiple computation steps including FFT, channel estimation, de-mapping, and Polar code decoding of multiple decoding candidates. Better battery life can be achieved if these processing steps are conditioned on a simple WUS detection.</w:t>
      </w:r>
    </w:p>
    <w:p w14:paraId="02514B2E" w14:textId="77777777" w:rsidR="001E681C" w:rsidRDefault="001E681C" w:rsidP="001E681C">
      <w:pPr>
        <w:jc w:val="center"/>
      </w:pPr>
      <w:r>
        <w:object w:dxaOrig="7210" w:dyaOrig="4348" w14:anchorId="5B27C19F">
          <v:shape id="_x0000_i1026" type="#_x0000_t75" style="width:360.75pt;height:198.75pt" o:ole="">
            <v:imagedata r:id="rId17" o:title="" croptop="6047f"/>
          </v:shape>
          <o:OLEObject Type="Embed" ProgID="Visio.Drawing.11" ShapeID="_x0000_i1026" DrawAspect="Content" ObjectID="_1602666241" r:id="rId18"/>
        </w:object>
      </w:r>
    </w:p>
    <w:p w14:paraId="03BDD7A4" w14:textId="17C6C75D" w:rsidR="001E681C" w:rsidRDefault="001E681C" w:rsidP="001E681C">
      <w:pPr>
        <w:pStyle w:val="Caption"/>
        <w:jc w:val="center"/>
      </w:pPr>
      <w:r>
        <w:t xml:space="preserve">Figure </w:t>
      </w:r>
      <w:r>
        <w:fldChar w:fldCharType="begin"/>
      </w:r>
      <w:r>
        <w:instrText xml:space="preserve"> SEQ Figure \* ARABIC </w:instrText>
      </w:r>
      <w:r>
        <w:fldChar w:fldCharType="separate"/>
      </w:r>
      <w:r w:rsidR="005368CB">
        <w:rPr>
          <w:noProof/>
        </w:rPr>
        <w:t>4</w:t>
      </w:r>
      <w:r>
        <w:fldChar w:fldCharType="end"/>
      </w:r>
      <w:r>
        <w:t>. WUS use case B: Wake up signal for flexible TxOP starting position indication</w:t>
      </w:r>
    </w:p>
    <w:p w14:paraId="25065D56" w14:textId="77777777" w:rsidR="001E681C" w:rsidRDefault="001E681C" w:rsidP="001E681C">
      <w:r>
        <w:t>In LTE LAA, the TxOP can start at slot level. To support more starting positions within a NR slot, the UE needs to be configured to monitor PDCCH more frequently, which translates to higher power consumption. If a WUS is introduced before the actual TxOP starts, the PDCCH based processing can be skipped when WUS is not detected, which allows more flexible starting positions to be supported without significantly impacting the power consumption.</w:t>
      </w:r>
    </w:p>
    <w:p w14:paraId="003783E7" w14:textId="77777777" w:rsidR="001E681C" w:rsidRDefault="001E681C" w:rsidP="001E681C">
      <w:pPr>
        <w:jc w:val="center"/>
      </w:pPr>
      <w:r>
        <w:object w:dxaOrig="5950" w:dyaOrig="3314" w14:anchorId="1F3BE62D">
          <v:shape id="_x0000_i1027" type="#_x0000_t75" style="width:295.5pt;height:132pt" o:ole="">
            <v:imagedata r:id="rId19" o:title="" croptop="6457f" cropbottom="6832f"/>
          </v:shape>
          <o:OLEObject Type="Embed" ProgID="Visio.Drawing.11" ShapeID="_x0000_i1027" DrawAspect="Content" ObjectID="_1602666242" r:id="rId20"/>
        </w:object>
      </w:r>
    </w:p>
    <w:p w14:paraId="6CCBED13" w14:textId="70AC6F92" w:rsidR="001E681C" w:rsidRDefault="001E681C" w:rsidP="001E681C">
      <w:pPr>
        <w:pStyle w:val="Caption"/>
        <w:jc w:val="center"/>
      </w:pPr>
      <w:r>
        <w:t xml:space="preserve">Figure </w:t>
      </w:r>
      <w:r>
        <w:fldChar w:fldCharType="begin"/>
      </w:r>
      <w:r>
        <w:instrText xml:space="preserve"> SEQ Figure \* ARABIC </w:instrText>
      </w:r>
      <w:r>
        <w:fldChar w:fldCharType="separate"/>
      </w:r>
      <w:r w:rsidR="005368CB">
        <w:rPr>
          <w:noProof/>
        </w:rPr>
        <w:t>5</w:t>
      </w:r>
      <w:r>
        <w:fldChar w:fldCharType="end"/>
      </w:r>
      <w:r>
        <w:t>. WUS use case C: Wake up signal for CUI detection</w:t>
      </w:r>
    </w:p>
    <w:p w14:paraId="6652E448" w14:textId="0CEB763F" w:rsidR="001E681C" w:rsidRPr="008A4667" w:rsidRDefault="001E681C" w:rsidP="001E681C">
      <w:r>
        <w:t xml:space="preserve">When channel usage indicator </w:t>
      </w:r>
      <w:r w:rsidR="00781E1C">
        <w:t xml:space="preserve">as discussed in Section </w:t>
      </w:r>
      <w:r w:rsidR="00FD52DD">
        <w:t>4.2</w:t>
      </w:r>
      <w:r w:rsidR="00781E1C">
        <w:t xml:space="preserve"> </w:t>
      </w:r>
      <w:r>
        <w:t>is used across different NR-U nodes for better reuse, the CUI transmission can be asynchronous as different NR-U nodes may not be time aligned, especially when they are from different operators. Then to detect the CUI from other nodes, we will need to recover the timing for CUI transmission, assuming CUI is using OFDM waveform. The WUS can serve that purpose. The WUS can be detected in asynchronous fashion and the WUS can provide the timing needed for the CUI detection.</w:t>
      </w:r>
      <w:r w:rsidR="00781E1C">
        <w:t xml:space="preserve"> </w:t>
      </w:r>
    </w:p>
    <w:p w14:paraId="150C7DD8" w14:textId="77777777" w:rsidR="001E681C" w:rsidRDefault="001E681C" w:rsidP="001E681C">
      <w:r>
        <w:t xml:space="preserve">For the waveform for WUS, we need to keep in mind that the waveform should support low power consumption detection. We can consider NR-PSS/SSS type waveform to reuse the PSS/SSS detection mechanism already available in NR UE. However, the NR-PSS/SSS waveform is relatively narrow band, and in some unlicensed bands, the PSD limitation enforced by regulators may not allow the NR-PSS/SSS type waveform to be transmitted with full power. </w:t>
      </w:r>
    </w:p>
    <w:p w14:paraId="1B447939" w14:textId="77777777" w:rsidR="001E681C" w:rsidRDefault="001E681C" w:rsidP="001E681C">
      <w:r>
        <w:t>Alternatively, wideband waveform that support auto-correlation based detection can be supported. The wideband waveform supports full power transmission, and the auto-correlation based detection typically can be supported with lower power consumption</w:t>
      </w:r>
    </w:p>
    <w:p w14:paraId="2CEB4A90" w14:textId="37BDC008" w:rsidR="001E681C" w:rsidRPr="00F53A74" w:rsidRDefault="001E681C" w:rsidP="001E681C">
      <w:pPr>
        <w:pStyle w:val="proposal"/>
      </w:pPr>
      <w:bookmarkStart w:id="9" w:name="e"/>
      <w:r w:rsidRPr="00F53A74">
        <w:t xml:space="preserve">Proposal </w:t>
      </w:r>
      <w:r w:rsidR="005368CB">
        <w:fldChar w:fldCharType="begin"/>
      </w:r>
      <w:r w:rsidR="005368CB">
        <w:instrText xml:space="preserve"> seq prop </w:instrText>
      </w:r>
      <w:r w:rsidR="005368CB">
        <w:fldChar w:fldCharType="separate"/>
      </w:r>
      <w:r w:rsidR="005368CB">
        <w:rPr>
          <w:noProof/>
        </w:rPr>
        <w:t>4</w:t>
      </w:r>
      <w:r w:rsidR="005368CB">
        <w:rPr>
          <w:noProof/>
        </w:rPr>
        <w:fldChar w:fldCharType="end"/>
      </w:r>
      <w:r w:rsidRPr="00F53A74">
        <w:t>. Further study the design and usage of wake-up signal in NR</w:t>
      </w:r>
      <w:r w:rsidR="004E6341">
        <w:t>-U</w:t>
      </w:r>
    </w:p>
    <w:bookmarkEnd w:id="9"/>
    <w:p w14:paraId="59983B65" w14:textId="77777777" w:rsidR="001E681C" w:rsidRDefault="001E681C" w:rsidP="001E681C">
      <w:r w:rsidRPr="00763530">
        <w:t>For the waveform for WUS, we will need a design that support</w:t>
      </w:r>
      <w:r>
        <w:t>s</w:t>
      </w:r>
      <w:r w:rsidRPr="00763530">
        <w:t xml:space="preserve"> low complexity detection,</w:t>
      </w:r>
      <w:r>
        <w:t xml:space="preserve"> time domain detection (if asynchronous detection is needed), </w:t>
      </w:r>
      <w:r w:rsidRPr="00763530">
        <w:t xml:space="preserve">and </w:t>
      </w:r>
      <w:r>
        <w:t xml:space="preserve">reasonably </w:t>
      </w:r>
      <w:r w:rsidRPr="00763530">
        <w:t>good coverage</w:t>
      </w:r>
      <w:r>
        <w:t>. The following two options can be considered:</w:t>
      </w:r>
    </w:p>
    <w:p w14:paraId="402B7DAA" w14:textId="77777777" w:rsidR="001E681C" w:rsidRDefault="001E681C" w:rsidP="00527B28">
      <w:pPr>
        <w:pStyle w:val="ListParagraph"/>
        <w:numPr>
          <w:ilvl w:val="0"/>
          <w:numId w:val="9"/>
        </w:numPr>
      </w:pPr>
      <w:r>
        <w:t>Narrow band waveform like what is used for PSS</w:t>
      </w:r>
    </w:p>
    <w:p w14:paraId="5F80B2C8" w14:textId="77777777" w:rsidR="001E681C" w:rsidRDefault="001E681C" w:rsidP="00527B28">
      <w:pPr>
        <w:pStyle w:val="ListParagraph"/>
        <w:numPr>
          <w:ilvl w:val="0"/>
          <w:numId w:val="9"/>
        </w:numPr>
      </w:pPr>
      <w:r>
        <w:t>Wideband waveform formed by repeating short sequence, like the waveform used by WiFi STF</w:t>
      </w:r>
    </w:p>
    <w:p w14:paraId="67577C32" w14:textId="77777777" w:rsidR="001E681C" w:rsidRDefault="001E681C" w:rsidP="001E681C">
      <w:r>
        <w:lastRenderedPageBreak/>
        <w:t>For the narrow band option, if a similar sequence like PSS is used, we can most likely reuse the design of PSS detection. In hardware implementation, the same circuit and algorithm for PSS detection can be reused as well. The waveform is relatively narrow band, so the complexity of cross-correlation based time domain detection is relatively low. A downside of this design is the transmission under PSD limitation. In that case, due to the narrow band nature of the signal, the transmit power of the waveform can be limited which will limit the coverage of the waveform.</w:t>
      </w:r>
    </w:p>
    <w:p w14:paraId="22446654" w14:textId="77777777" w:rsidR="001E681C" w:rsidRDefault="001E681C" w:rsidP="001E681C">
      <w:r>
        <w:t>On the other hand, if wideband repeated short sequence is used, since the signal is wideband, the transmission under PSD limitation will not be a problem. However, since the sampling rate of the waveform is high, cross-correlation based time domain detection will be of high complexity. Instead, typically an auto-correlation based detector is used which has much lower complexity but comes at expense of degraded performance when compared with a cross-correlation based solution.</w:t>
      </w:r>
    </w:p>
    <w:p w14:paraId="35166807" w14:textId="77777777" w:rsidR="001E681C" w:rsidRDefault="001E681C" w:rsidP="001E681C">
      <w:r>
        <w:t>Both options have their pros and cons. We propose to study them both and pick one.</w:t>
      </w:r>
    </w:p>
    <w:p w14:paraId="37A1A145" w14:textId="799E810F" w:rsidR="001E681C" w:rsidRDefault="001E681C" w:rsidP="001E681C">
      <w:pPr>
        <w:pStyle w:val="proposal"/>
      </w:pPr>
      <w:bookmarkStart w:id="10" w:name="f"/>
      <w:r w:rsidRPr="00CB5E99">
        <w:t xml:space="preserve">Proposal </w:t>
      </w:r>
      <w:r w:rsidR="005368CB">
        <w:fldChar w:fldCharType="begin"/>
      </w:r>
      <w:r w:rsidR="005368CB">
        <w:instrText xml:space="preserve"> se</w:instrText>
      </w:r>
      <w:r w:rsidR="005368CB">
        <w:instrText xml:space="preserve">q prop </w:instrText>
      </w:r>
      <w:r w:rsidR="005368CB">
        <w:fldChar w:fldCharType="separate"/>
      </w:r>
      <w:r w:rsidR="005368CB">
        <w:rPr>
          <w:noProof/>
        </w:rPr>
        <w:t>5</w:t>
      </w:r>
      <w:r w:rsidR="005368CB">
        <w:rPr>
          <w:noProof/>
        </w:rPr>
        <w:fldChar w:fldCharType="end"/>
      </w:r>
      <w:r>
        <w:t>. For the waveform for WUS, consider PSS/SSS like waveform and wideband repeated short sequence type waveform.</w:t>
      </w:r>
    </w:p>
    <w:bookmarkEnd w:id="10"/>
    <w:p w14:paraId="4EB4ADE8" w14:textId="2BFE6FE2" w:rsidR="001E681C" w:rsidRDefault="001E681C" w:rsidP="001E681C">
      <w:pPr>
        <w:pStyle w:val="proposal"/>
        <w:rPr>
          <w:b w:val="0"/>
        </w:rPr>
      </w:pPr>
      <w:r w:rsidRPr="00BB496F">
        <w:rPr>
          <w:b w:val="0"/>
        </w:rPr>
        <w:t>In addition, if the WUS can be designed to be technology neutral, it can be understood by nodes with different RAT</w:t>
      </w:r>
      <w:r>
        <w:rPr>
          <w:b w:val="0"/>
        </w:rPr>
        <w:t xml:space="preserve"> to achieve</w:t>
      </w:r>
      <w:r w:rsidRPr="00BB496F">
        <w:rPr>
          <w:b w:val="0"/>
        </w:rPr>
        <w:t xml:space="preserve"> better coexistence</w:t>
      </w:r>
      <w:r>
        <w:rPr>
          <w:b w:val="0"/>
        </w:rPr>
        <w:t xml:space="preserve">. </w:t>
      </w:r>
      <w:r w:rsidR="00FD52DD">
        <w:rPr>
          <w:b w:val="0"/>
        </w:rPr>
        <w:t xml:space="preserve">Additionally, if the WiFi preamble is used as the technology neutral WUS, according to the current ETSI regulation, it is possible to use a more friendly -62dBm ED threshold for 5GHz band. The benefit of using this special WUS needs to be further studied in coexistence simulations. On the other hand, since the WiFi preamble may not have the same coverage as the NR waveform, this preamble may not be able to serve all the targeted functionalities of the initial signal being considered. </w:t>
      </w:r>
    </w:p>
    <w:p w14:paraId="04806EF5" w14:textId="2B157C50" w:rsidR="001E681C" w:rsidRDefault="001E681C" w:rsidP="001E681C">
      <w:pPr>
        <w:pStyle w:val="proposal"/>
      </w:pPr>
      <w:bookmarkStart w:id="11" w:name="g"/>
      <w:r w:rsidRPr="00CB5E99">
        <w:t xml:space="preserve">Proposal </w:t>
      </w:r>
      <w:r w:rsidR="005368CB">
        <w:fldChar w:fldCharType="begin"/>
      </w:r>
      <w:r w:rsidR="005368CB">
        <w:instrText xml:space="preserve"> </w:instrText>
      </w:r>
      <w:r w:rsidR="005368CB">
        <w:instrText xml:space="preserve">seq prop </w:instrText>
      </w:r>
      <w:r w:rsidR="005368CB">
        <w:fldChar w:fldCharType="separate"/>
      </w:r>
      <w:r w:rsidR="005368CB">
        <w:rPr>
          <w:noProof/>
        </w:rPr>
        <w:t>6</w:t>
      </w:r>
      <w:r w:rsidR="005368CB">
        <w:rPr>
          <w:noProof/>
        </w:rPr>
        <w:fldChar w:fldCharType="end"/>
      </w:r>
      <w:r>
        <w:t>. A technology neutral WUS can be considered for improved coexistence between different RAT.</w:t>
      </w:r>
    </w:p>
    <w:bookmarkEnd w:id="11"/>
    <w:p w14:paraId="60BC02D4" w14:textId="77777777" w:rsidR="001E681C" w:rsidRPr="00455E2A" w:rsidRDefault="001E681C" w:rsidP="00455E2A">
      <w:pPr>
        <w:rPr>
          <w:lang w:eastAsia="en-US"/>
        </w:rPr>
      </w:pPr>
    </w:p>
    <w:p w14:paraId="5A5D0AED" w14:textId="67354D56" w:rsidR="00AE102E" w:rsidRPr="00C63BF5" w:rsidRDefault="005368CB" w:rsidP="00F258F5">
      <w:pPr>
        <w:pStyle w:val="Heading2"/>
      </w:pPr>
      <w:r>
        <w:t>3</w:t>
      </w:r>
      <w:r w:rsidR="00F258F5">
        <w:t>.</w:t>
      </w:r>
      <w:r w:rsidR="00081133">
        <w:t>2</w:t>
      </w:r>
      <w:r w:rsidR="00455E2A">
        <w:t xml:space="preserve"> </w:t>
      </w:r>
      <w:r w:rsidR="00AE102E">
        <w:t>Channel Usage Indicator (CUI)</w:t>
      </w:r>
    </w:p>
    <w:p w14:paraId="46E4DEFC" w14:textId="6AF64C6B" w:rsidR="00AE102E" w:rsidRDefault="00EB6757" w:rsidP="00C418D9">
      <w:r>
        <w:t>In this section, we discuss on introducing Channel Usage Indicator (CUI) signal to support more accurate channel reuse and SINR trade</w:t>
      </w:r>
      <w:r w:rsidR="00DA17D2">
        <w:t>-</w:t>
      </w:r>
      <w:r>
        <w:t xml:space="preserve">off. </w:t>
      </w:r>
      <w:r w:rsidR="00DA17D2">
        <w:t>More</w:t>
      </w:r>
      <w:r>
        <w:t xml:space="preserve"> details are listed in our </w:t>
      </w:r>
      <w:r w:rsidR="00AE102E">
        <w:t>companion paper [</w:t>
      </w:r>
      <w:r w:rsidR="00001EBE">
        <w:t>4</w:t>
      </w:r>
      <w:r w:rsidR="00AE102E">
        <w:t>]</w:t>
      </w:r>
      <w:r>
        <w:t>.</w:t>
      </w:r>
    </w:p>
    <w:p w14:paraId="10873A67" w14:textId="77777777" w:rsidR="00AE102E" w:rsidRPr="00AE102E" w:rsidRDefault="00AE102E" w:rsidP="00C418D9">
      <w:r w:rsidRPr="00AE102E">
        <w:t>For the waveform for the CUI, it is preferred to reuse existing NR waveform, instead of having a completely new design. Some potential waveform design options include reusing PDCCH design, or reusing PUCCH design. Between the two options, we believe PDCCH waveform is more suitable due to the following reasons:</w:t>
      </w:r>
    </w:p>
    <w:p w14:paraId="2ED82AC8" w14:textId="77777777" w:rsidR="00AE102E" w:rsidRPr="00AE102E" w:rsidRDefault="00AE102E" w:rsidP="00C418D9">
      <w:pPr>
        <w:pStyle w:val="ListParagraph"/>
      </w:pPr>
      <w:r w:rsidRPr="00AE102E">
        <w:t>The CUI needs to carry some payload information (NAV information and a flag to distinguish transmitter or receiver), so PUCCH formats with 1-2 bits payloads are not helpful.</w:t>
      </w:r>
    </w:p>
    <w:p w14:paraId="35EDF853" w14:textId="77777777" w:rsidR="00AE102E" w:rsidRPr="00AE102E" w:rsidRDefault="00AE102E" w:rsidP="00C418D9">
      <w:pPr>
        <w:pStyle w:val="ListParagraph"/>
      </w:pPr>
      <w:r w:rsidRPr="00AE102E">
        <w:t>The CUI waveform needs to be transmitted from both gNB and UE. Since NR UE already support both DFT-s-FDM waveform and OFDMA waveform, it is more natural to use OFDMA waveform for CUI</w:t>
      </w:r>
    </w:p>
    <w:p w14:paraId="055C4E70" w14:textId="77777777" w:rsidR="00AE102E" w:rsidRPr="00AE102E" w:rsidRDefault="00AE102E" w:rsidP="00C418D9">
      <w:pPr>
        <w:pStyle w:val="ListParagraph"/>
      </w:pPr>
      <w:r w:rsidRPr="00AE102E">
        <w:t>The CORESET configuration that includes parameters such as bandwidth, time domain length, interleaving or not, different aggregation levels for the DCI is more flexible than the PUCCH waveforms. Thus it is easier to find a good configuration to fit the purpose and match the performance requirement</w:t>
      </w:r>
    </w:p>
    <w:p w14:paraId="646E0DD7" w14:textId="77777777" w:rsidR="00AE102E" w:rsidRPr="00AE102E" w:rsidRDefault="00AE102E" w:rsidP="00C418D9">
      <w:r w:rsidRPr="00AE102E">
        <w:t xml:space="preserve">If PDCCH waveform is picked for CUI transmission, we will need to define a control resource set (CORESET) structure for carrying the CUI. Since the CUI needs to be detected across operators, some coordination is needed on the CORESET configuration. </w:t>
      </w:r>
    </w:p>
    <w:p w14:paraId="6D15D0A3" w14:textId="3CDCB506" w:rsidR="00AE102E" w:rsidRDefault="00AE102E" w:rsidP="00C418D9">
      <w:pPr>
        <w:pStyle w:val="proposal"/>
      </w:pPr>
      <w:bookmarkStart w:id="12" w:name="h"/>
      <w:r w:rsidRPr="00AE102E">
        <w:t xml:space="preserve">Proposal </w:t>
      </w:r>
      <w:r w:rsidR="005368CB">
        <w:fldChar w:fldCharType="begin"/>
      </w:r>
      <w:r w:rsidR="005368CB">
        <w:instrText xml:space="preserve"> seq prop </w:instrText>
      </w:r>
      <w:r w:rsidR="005368CB">
        <w:fldChar w:fldCharType="separate"/>
      </w:r>
      <w:r w:rsidR="005368CB">
        <w:rPr>
          <w:noProof/>
        </w:rPr>
        <w:t>7</w:t>
      </w:r>
      <w:r w:rsidR="005368CB">
        <w:rPr>
          <w:noProof/>
        </w:rPr>
        <w:fldChar w:fldCharType="end"/>
      </w:r>
      <w:r w:rsidRPr="00AE102E">
        <w:t>: Reuse NR PDCCH waveform for CUI transmission from both gNB and UE.</w:t>
      </w:r>
    </w:p>
    <w:bookmarkEnd w:id="12"/>
    <w:p w14:paraId="32212BA6" w14:textId="3E5093D0" w:rsidR="00743173" w:rsidRDefault="00743173" w:rsidP="00C418D9">
      <w:pPr>
        <w:pStyle w:val="proposal"/>
      </w:pPr>
    </w:p>
    <w:p w14:paraId="64D71597" w14:textId="58F99008" w:rsidR="00EC0E8F" w:rsidRDefault="00EC0E8F" w:rsidP="00F258F5">
      <w:pPr>
        <w:pStyle w:val="Heading1"/>
      </w:pPr>
      <w:r>
        <w:t xml:space="preserve"> CORESET Configuration</w:t>
      </w:r>
      <w:r w:rsidR="0064624A">
        <w:t xml:space="preserve"> and PDCCH </w:t>
      </w:r>
      <w:r w:rsidR="00F258F5">
        <w:t xml:space="preserve">and PDSCH </w:t>
      </w:r>
      <w:r w:rsidR="0064624A">
        <w:t>transmission</w:t>
      </w:r>
    </w:p>
    <w:p w14:paraId="0A375DB0" w14:textId="3EA927E6" w:rsidR="00845CC0" w:rsidRDefault="00D71515" w:rsidP="00D71515">
      <w:r>
        <w:t xml:space="preserve">Due to the large bandwidth of unlicensed bands, a natural and low complexity implementation is to configure the UE to operate in wide BWP, such as 80MHz. However, due to the potential WiFi neighbours nearby, the channel access is still using 20MHz resolutions. As a result, for each TxOP, possibly only a subset of the 20MHz subbands in the wide BWP can be used. The </w:t>
      </w:r>
      <w:r w:rsidR="00845CC0">
        <w:t xml:space="preserve">CORESET configuration needs to handle different LBT results. </w:t>
      </w:r>
    </w:p>
    <w:p w14:paraId="0DF694EF" w14:textId="63B26699" w:rsidR="005F3199" w:rsidRDefault="00845CC0" w:rsidP="005F3199">
      <w:r>
        <w:t xml:space="preserve">A straightforward way is to have multiple CORESET configured in frequency domain where each CORESET is confined within each subband. </w:t>
      </w:r>
      <w:r w:rsidR="00E713F5">
        <w:t>Note current</w:t>
      </w:r>
      <w:r>
        <w:t xml:space="preserve"> NR only allows up to </w:t>
      </w:r>
      <w:r w:rsidR="007A60D7">
        <w:t>three</w:t>
      </w:r>
      <w:r>
        <w:t xml:space="preserve"> CORESETs configured for UE per each BWP, </w:t>
      </w:r>
      <w:r w:rsidR="00E713F5">
        <w:t xml:space="preserve">when a wideband BWP consists of more than </w:t>
      </w:r>
      <w:r w:rsidR="007A60D7">
        <w:t>three</w:t>
      </w:r>
      <w:r w:rsidR="00E713F5">
        <w:t xml:space="preserve"> subbands, </w:t>
      </w:r>
      <w:r w:rsidR="006112F6">
        <w:t>one may</w:t>
      </w:r>
      <w:r w:rsidR="00E713F5">
        <w:t xml:space="preserve"> need to increase the number of CORESETs to accommodate more LBT subbands. </w:t>
      </w:r>
    </w:p>
    <w:p w14:paraId="1FD7FE4F" w14:textId="2C02E245" w:rsidR="00E713F5" w:rsidRDefault="00E713F5" w:rsidP="005F3199">
      <w:r>
        <w:t xml:space="preserve">Another approach is to have wideband CORESET configuration where each decoding candidate is self-contained </w:t>
      </w:r>
      <w:r>
        <w:lastRenderedPageBreak/>
        <w:t>within a subband. gNB can therefore, choose to send PDCCH with the candidates corresponding to the subbands with channel access.</w:t>
      </w:r>
      <w:r w:rsidR="005D43B6">
        <w:t xml:space="preserve"> </w:t>
      </w:r>
      <w:r w:rsidR="00D71515">
        <w:t>However, on the UE side, before the actually subband usage information is known (such as at the beginning of the TxOP), the UE can only attempt to decode all PDCCHs candidates in all subbands.</w:t>
      </w:r>
      <w:r w:rsidR="00A32321">
        <w:t xml:space="preserve"> Then the decoding candidates should be uniformly distributed over all subbands in the BWP. On the other hand, in the middle of the TxOP, when only a subset of subbands are in use, may not want to waste blind decoding on the part of coreset that is not being used. </w:t>
      </w:r>
    </w:p>
    <w:p w14:paraId="1A093FD7" w14:textId="77777777" w:rsidR="00190501" w:rsidRDefault="00E713F5" w:rsidP="00F55ADB">
      <w:pPr>
        <w:tabs>
          <w:tab w:val="left" w:pos="630"/>
        </w:tabs>
      </w:pPr>
      <w:r>
        <w:t xml:space="preserve">In addition, </w:t>
      </w:r>
      <w:r w:rsidR="005E4957">
        <w:t xml:space="preserve">to reduce the medium overhead, gNB may start transmission in the middle of a slot without </w:t>
      </w:r>
      <w:r w:rsidR="004E6341">
        <w:t>deferring</w:t>
      </w:r>
      <w:r w:rsidR="005E4957">
        <w:t xml:space="preserve"> till slot boundary. One way to achieve this is to have </w:t>
      </w:r>
      <w:r w:rsidR="005421A5">
        <w:t>gNB schedule data with mini-slot granularity</w:t>
      </w:r>
      <w:r w:rsidR="004E6341">
        <w:t>.</w:t>
      </w:r>
      <w:r w:rsidR="00A32321">
        <w:t xml:space="preserve"> </w:t>
      </w:r>
      <w:r w:rsidR="004E6341">
        <w:t>To reduce the PDCCH overhead and UE monitoring complexity, the mini-slot based scheduling can be applied</w:t>
      </w:r>
      <w:r w:rsidR="005421A5">
        <w:t xml:space="preserve"> </w:t>
      </w:r>
      <w:r w:rsidR="005E4957">
        <w:t>in the beginning of the TXO</w:t>
      </w:r>
      <w:r w:rsidR="004E6341">
        <w:t>P</w:t>
      </w:r>
      <w:r w:rsidR="005E4957">
        <w:t xml:space="preserve"> </w:t>
      </w:r>
      <w:r w:rsidR="004E6341">
        <w:t>while</w:t>
      </w:r>
      <w:r w:rsidR="005421A5">
        <w:t xml:space="preserve"> slot level scheduling </w:t>
      </w:r>
      <w:r w:rsidR="004E6341">
        <w:t>can be used in later slots of the TXOP</w:t>
      </w:r>
      <w:r w:rsidR="005421A5">
        <w:t xml:space="preserve">. </w:t>
      </w:r>
      <w:r w:rsidR="004E6341">
        <w:t>To reduce the PDCCH overhead</w:t>
      </w:r>
      <w:r w:rsidR="005421A5">
        <w:t xml:space="preserve">, </w:t>
      </w:r>
      <w:r>
        <w:t>the CORESET with mini-slot granularity may be different compared to the CORESET with slot granularity</w:t>
      </w:r>
      <w:r w:rsidR="00D86055">
        <w:t>.</w:t>
      </w:r>
      <w:r>
        <w:t xml:space="preserve"> </w:t>
      </w:r>
      <w:r w:rsidR="00A32321">
        <w:t>However, this approach will require a high capability UE (which can perform mini-slot level PDCCH monitoring) and leads to higher power consumption as the UE needs to stay awake for the PDCCH monitoring</w:t>
      </w:r>
      <w:r w:rsidR="00190501">
        <w:t xml:space="preserve"> outside TxOP and at the beginning of the TxOP. </w:t>
      </w:r>
    </w:p>
    <w:p w14:paraId="6C16108C" w14:textId="4D9068BC" w:rsidR="00190501" w:rsidRDefault="00190501" w:rsidP="00F55ADB">
      <w:pPr>
        <w:tabs>
          <w:tab w:val="left" w:pos="630"/>
        </w:tabs>
      </w:pPr>
      <w:r>
        <w:t xml:space="preserve">An alternative approach to support more flexible TxOP starting point is to use puncturing based PDSCH transmission. The puncturing based flexible starting point was introduced for PUSCH transmission in LTE-LAA. The technique was not applied for DL mainly because LTE subframe starts from control region, and when control region is punctured, the PDSCH grant cannot be detected. For NR, more flexibility was introduced in scheduling and we can study if there are ways to support PDSCH puncturing based flexible TxOP starting point as well. The main benefit of having such design is the UE does not need to monitor the PDCCH very frequently, so a low capability UE can be served at the beginning of TxOP. </w:t>
      </w:r>
    </w:p>
    <w:p w14:paraId="5E0E84BC" w14:textId="1EB260A9" w:rsidR="00E713F5" w:rsidRDefault="00E713F5" w:rsidP="00F55ADB">
      <w:pPr>
        <w:tabs>
          <w:tab w:val="left" w:pos="630"/>
        </w:tabs>
      </w:pPr>
    </w:p>
    <w:p w14:paraId="594092D7" w14:textId="334537DA" w:rsidR="008E3C7D" w:rsidRDefault="008E3C7D" w:rsidP="008E3C7D">
      <w:pPr>
        <w:pStyle w:val="proposal"/>
      </w:pPr>
      <w:bookmarkStart w:id="13" w:name="i"/>
      <w:r w:rsidRPr="00AE102E">
        <w:t xml:space="preserve">Proposal </w:t>
      </w:r>
      <w:r w:rsidR="005368CB">
        <w:fldChar w:fldCharType="begin"/>
      </w:r>
      <w:r w:rsidR="005368CB">
        <w:instrText xml:space="preserve"> seq prop </w:instrText>
      </w:r>
      <w:r w:rsidR="005368CB">
        <w:fldChar w:fldCharType="separate"/>
      </w:r>
      <w:r w:rsidR="005368CB">
        <w:rPr>
          <w:noProof/>
        </w:rPr>
        <w:t>8</w:t>
      </w:r>
      <w:r w:rsidR="005368CB">
        <w:rPr>
          <w:noProof/>
        </w:rPr>
        <w:fldChar w:fldCharType="end"/>
      </w:r>
      <w:r w:rsidRPr="00AE102E">
        <w:t xml:space="preserve">: </w:t>
      </w:r>
      <w:r>
        <w:t>Consider a wideband BWP which consists of multiple subbands where gNB may be able to transmit on a subset of the subbands based on the LBT results.</w:t>
      </w:r>
    </w:p>
    <w:p w14:paraId="34435639" w14:textId="1D128FEE" w:rsidR="00EC0E8F" w:rsidRDefault="00845CC0" w:rsidP="00C418D9">
      <w:pPr>
        <w:pStyle w:val="proposal"/>
      </w:pPr>
      <w:r w:rsidRPr="00AE102E">
        <w:t xml:space="preserve">Proposal </w:t>
      </w:r>
      <w:r w:rsidR="005368CB">
        <w:fldChar w:fldCharType="begin"/>
      </w:r>
      <w:r w:rsidR="005368CB">
        <w:instrText xml:space="preserve"> seq prop </w:instrText>
      </w:r>
      <w:r w:rsidR="005368CB">
        <w:fldChar w:fldCharType="separate"/>
      </w:r>
      <w:r w:rsidR="005368CB">
        <w:rPr>
          <w:noProof/>
        </w:rPr>
        <w:t>9</w:t>
      </w:r>
      <w:r w:rsidR="005368CB">
        <w:rPr>
          <w:noProof/>
        </w:rPr>
        <w:fldChar w:fldCharType="end"/>
      </w:r>
      <w:r w:rsidRPr="00AE102E">
        <w:t xml:space="preserve">: </w:t>
      </w:r>
      <w:r>
        <w:t xml:space="preserve">Wideband CORESET is configured with </w:t>
      </w:r>
      <w:r w:rsidR="00E713F5">
        <w:t>subband-contained decoding candidates.</w:t>
      </w:r>
    </w:p>
    <w:p w14:paraId="2F6C51A1" w14:textId="65CC3549" w:rsidR="00CB64BB" w:rsidRDefault="00CB64BB" w:rsidP="00C418D9">
      <w:pPr>
        <w:pStyle w:val="proposal"/>
      </w:pPr>
      <w:r>
        <w:t xml:space="preserve">Proposal </w:t>
      </w:r>
      <w:r w:rsidR="005368CB">
        <w:fldChar w:fldCharType="begin"/>
      </w:r>
      <w:r w:rsidR="005368CB">
        <w:instrText xml:space="preserve"> seq prop </w:instrText>
      </w:r>
      <w:r w:rsidR="005368CB">
        <w:fldChar w:fldCharType="separate"/>
      </w:r>
      <w:r w:rsidR="005368CB">
        <w:rPr>
          <w:noProof/>
        </w:rPr>
        <w:t>10</w:t>
      </w:r>
      <w:r w:rsidR="005368CB">
        <w:rPr>
          <w:noProof/>
        </w:rPr>
        <w:fldChar w:fldCharType="end"/>
      </w:r>
      <w:r>
        <w:t>: gNB may start transmission in the middle of a slot to minimize medium overhead. The current NR PDSCH transmission type B with 2/4/7 symbol duration can be reused for NR-U.</w:t>
      </w:r>
    </w:p>
    <w:p w14:paraId="39114099" w14:textId="37BE483F" w:rsidR="005421A5" w:rsidRDefault="005421A5" w:rsidP="00C418D9">
      <w:pPr>
        <w:pStyle w:val="proposal"/>
      </w:pPr>
      <w:r>
        <w:t xml:space="preserve">Proposal </w:t>
      </w:r>
      <w:r w:rsidR="005368CB">
        <w:fldChar w:fldCharType="begin"/>
      </w:r>
      <w:r w:rsidR="005368CB">
        <w:instrText xml:space="preserve"> seq prop </w:instrText>
      </w:r>
      <w:r w:rsidR="005368CB">
        <w:fldChar w:fldCharType="separate"/>
      </w:r>
      <w:r w:rsidR="005368CB">
        <w:rPr>
          <w:noProof/>
        </w:rPr>
        <w:t>11</w:t>
      </w:r>
      <w:r w:rsidR="005368CB">
        <w:rPr>
          <w:noProof/>
        </w:rPr>
        <w:fldChar w:fldCharType="end"/>
      </w:r>
      <w:r>
        <w:t xml:space="preserve">: </w:t>
      </w:r>
      <w:r w:rsidR="00CB64BB">
        <w:t>For UEs with mini-slot monitoring capability,</w:t>
      </w:r>
      <w:r>
        <w:t xml:space="preserve"> UE may be configured with different CORESET configuration with mini-slot </w:t>
      </w:r>
      <w:r w:rsidR="00B079FA">
        <w:t xml:space="preserve">based </w:t>
      </w:r>
      <w:r>
        <w:t xml:space="preserve">scheduling compared to the one with slot </w:t>
      </w:r>
      <w:r w:rsidR="00B079FA">
        <w:t xml:space="preserve">based </w:t>
      </w:r>
      <w:r>
        <w:t>scheduling.</w:t>
      </w:r>
    </w:p>
    <w:p w14:paraId="4D611309" w14:textId="39BD9061" w:rsidR="0064624A" w:rsidRDefault="0064624A" w:rsidP="00C418D9">
      <w:pPr>
        <w:pStyle w:val="proposal"/>
      </w:pPr>
      <w:r>
        <w:t xml:space="preserve">Proposal </w:t>
      </w:r>
      <w:r w:rsidR="005368CB">
        <w:fldChar w:fldCharType="begin"/>
      </w:r>
      <w:r w:rsidR="005368CB">
        <w:instrText xml:space="preserve"> seq prop </w:instrText>
      </w:r>
      <w:r w:rsidR="005368CB">
        <w:fldChar w:fldCharType="separate"/>
      </w:r>
      <w:r w:rsidR="005368CB">
        <w:rPr>
          <w:noProof/>
        </w:rPr>
        <w:t>12</w:t>
      </w:r>
      <w:r w:rsidR="005368CB">
        <w:rPr>
          <w:noProof/>
        </w:rPr>
        <w:fldChar w:fldCharType="end"/>
      </w:r>
      <w:r>
        <w:t xml:space="preserve">: </w:t>
      </w:r>
      <w:r w:rsidR="00CB64BB">
        <w:t>For UEs with mini-slot monitoring capability,</w:t>
      </w:r>
      <w:r>
        <w:t xml:space="preserve"> UE may be configured with mini-slot based scheduling granular</w:t>
      </w:r>
      <w:r w:rsidR="00190501">
        <w:t xml:space="preserve">ity in </w:t>
      </w:r>
      <w:r w:rsidR="00F55ADB">
        <w:t>the initial slot(s) and switch to slot based scheduling in the later slots per TXOP. The PDCCH monitoring ca</w:t>
      </w:r>
      <w:r>
        <w:t>ity in n be further assisted via WUS detection.</w:t>
      </w:r>
    </w:p>
    <w:p w14:paraId="63BBC334" w14:textId="3DA71A44" w:rsidR="005E4957" w:rsidRDefault="005E4957" w:rsidP="00C418D9">
      <w:pPr>
        <w:pStyle w:val="proposal"/>
      </w:pPr>
      <w:r>
        <w:t xml:space="preserve">Proposal </w:t>
      </w:r>
      <w:r w:rsidR="005368CB">
        <w:fldChar w:fldCharType="begin"/>
      </w:r>
      <w:r w:rsidR="005368CB">
        <w:instrText xml:space="preserve"> seq prop </w:instrText>
      </w:r>
      <w:r w:rsidR="005368CB">
        <w:fldChar w:fldCharType="separate"/>
      </w:r>
      <w:r w:rsidR="005368CB">
        <w:rPr>
          <w:noProof/>
        </w:rPr>
        <w:t>13</w:t>
      </w:r>
      <w:r w:rsidR="005368CB">
        <w:rPr>
          <w:noProof/>
        </w:rPr>
        <w:fldChar w:fldCharType="end"/>
      </w:r>
      <w:r>
        <w:t xml:space="preserve">: </w:t>
      </w:r>
      <w:r w:rsidR="00CB64BB">
        <w:t xml:space="preserve">For UEs without mini-slot monitoring capability, gNB may use puncturing based transmission to support transmission </w:t>
      </w:r>
      <w:r w:rsidR="00190501">
        <w:t xml:space="preserve">starting </w:t>
      </w:r>
      <w:r w:rsidR="00CB64BB">
        <w:t>in the middle of a slot</w:t>
      </w:r>
      <w:r w:rsidR="00B079FA">
        <w:t>.</w:t>
      </w:r>
      <w:r w:rsidR="00CB64BB">
        <w:t xml:space="preserve"> The exact mechanism on signaling and transmission need to be further considered.</w:t>
      </w:r>
      <w:r w:rsidR="00B079FA">
        <w:t xml:space="preserve"> </w:t>
      </w:r>
    </w:p>
    <w:bookmarkEnd w:id="13"/>
    <w:p w14:paraId="132F34C4" w14:textId="15080D9C" w:rsidR="00D86055" w:rsidRDefault="00D86055" w:rsidP="00C418D9">
      <w:pPr>
        <w:pStyle w:val="proposal"/>
      </w:pPr>
    </w:p>
    <w:p w14:paraId="7C304408" w14:textId="0A2FD1C1" w:rsidR="00D86055" w:rsidRDefault="00D86055" w:rsidP="00F258F5">
      <w:pPr>
        <w:pStyle w:val="Heading1"/>
      </w:pPr>
      <w:r>
        <w:t xml:space="preserve"> CSI-RS</w:t>
      </w:r>
    </w:p>
    <w:p w14:paraId="05136C17" w14:textId="51796354"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an TxOP. On the other hand, </w:t>
      </w:r>
      <w:r w:rsidR="00A73185">
        <w:t xml:space="preserve">NR </w:t>
      </w:r>
      <w:r w:rsidR="00213862">
        <w:t xml:space="preserve">periodic CSI-RS and semi-persistent CSI-RS </w:t>
      </w:r>
      <w:r w:rsidR="00A73185">
        <w:t xml:space="preserve">cannot carry over to NR-U directly, consider the configured transmission opportunity may not be useable due to LBT failure. </w:t>
      </w:r>
    </w:p>
    <w:p w14:paraId="38E47657" w14:textId="5ECD1973" w:rsidR="00A73185" w:rsidRDefault="00A73185" w:rsidP="00D86055">
      <w:r>
        <w:t>Simple changes to period and semi-persistent CSI-RS can be introduced to make it more LBT friendly. For example, if the periodic and semi-persistent CSI-RS are configured, they can be only transmitted when the configured transmission opportunity falls in the DL portion of a TxOP. On the UE side, if the processing of periodic and semi-persistent CSI-RS is conditioned on the detection of TxOP start, these CSI-RS types can still be supported in NR-U, as a scheduler choice.</w:t>
      </w:r>
    </w:p>
    <w:p w14:paraId="4C3D68F0" w14:textId="5F63BA34" w:rsidR="00213862" w:rsidRPr="00213862" w:rsidRDefault="00213862" w:rsidP="00D86055">
      <w:pPr>
        <w:rPr>
          <w:b/>
        </w:rPr>
      </w:pPr>
      <w:bookmarkStart w:id="14" w:name="j"/>
      <w:r w:rsidRPr="00213862">
        <w:rPr>
          <w:b/>
        </w:rPr>
        <w:t xml:space="preserve">Proposal </w:t>
      </w:r>
      <w:r w:rsidR="00190501" w:rsidRPr="00190501">
        <w:rPr>
          <w:b/>
        </w:rPr>
        <w:fldChar w:fldCharType="begin"/>
      </w:r>
      <w:r w:rsidR="00190501" w:rsidRPr="00190501">
        <w:rPr>
          <w:b/>
        </w:rPr>
        <w:instrText xml:space="preserve"> seq prop </w:instrText>
      </w:r>
      <w:r w:rsidR="00190501" w:rsidRPr="00190501">
        <w:rPr>
          <w:b/>
        </w:rPr>
        <w:fldChar w:fldCharType="separate"/>
      </w:r>
      <w:r w:rsidR="005368CB">
        <w:rPr>
          <w:b/>
          <w:noProof/>
        </w:rPr>
        <w:t>14</w:t>
      </w:r>
      <w:r w:rsidR="00190501" w:rsidRPr="00190501">
        <w:rPr>
          <w:b/>
        </w:rPr>
        <w:fldChar w:fldCharType="end"/>
      </w:r>
      <w:r w:rsidRPr="00213862">
        <w:rPr>
          <w:b/>
        </w:rPr>
        <w:t>. All periodic, semi-persistent, and aperiodic CSI-RS can be supported in NR-U, while the transmission and processing of periodic and semi-persistent CSI-RS should be conditioned on the detection that the transmission opportunity falls in the DL portion of a TxOP.</w:t>
      </w:r>
    </w:p>
    <w:bookmarkEnd w:id="14"/>
    <w:p w14:paraId="70FEDB4E" w14:textId="277488A4" w:rsidR="00D86055" w:rsidRDefault="00D86055" w:rsidP="00C418D9">
      <w:pPr>
        <w:pStyle w:val="proposal"/>
      </w:pPr>
    </w:p>
    <w:p w14:paraId="25454152" w14:textId="36BAD63E" w:rsidR="00FD5744" w:rsidRDefault="00FD5744" w:rsidP="00F258F5">
      <w:pPr>
        <w:pStyle w:val="Heading1"/>
      </w:pPr>
      <w:r>
        <w:lastRenderedPageBreak/>
        <w:t xml:space="preserve"> SFI enhancements</w:t>
      </w:r>
    </w:p>
    <w:p w14:paraId="6E754890" w14:textId="3D10DB14"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30905495" w:rsidR="00826634" w:rsidRDefault="00826634" w:rsidP="00A73185">
      <w:pPr>
        <w:wordWrap/>
        <w:rPr>
          <w:lang w:eastAsia="en-US"/>
        </w:rPr>
      </w:pPr>
      <w:r>
        <w:rPr>
          <w:lang w:eastAsia="en-US"/>
        </w:rPr>
        <w:t xml:space="preserve">In LTE-LAA, C-PDCCH was introduced to indicate to the UE the structure of TxOP, including the length of DL portion of TxOP, the length of gap, and the length of UL portion. </w:t>
      </w:r>
    </w:p>
    <w:p w14:paraId="2C09AAED" w14:textId="48AFA982" w:rsidR="00F6223D" w:rsidRDefault="00F6223D" w:rsidP="00A73185">
      <w:pPr>
        <w:wordWrap/>
        <w:rPr>
          <w:lang w:eastAsia="en-US"/>
        </w:rPr>
      </w:pPr>
      <w:r>
        <w:rPr>
          <w:lang w:eastAsia="en-US"/>
        </w:rPr>
        <w:t>As we can see, the key functionality of C-PDCCH can be achieved by using SFI. However, the Rel.15 NR SFI functionality is limited as the slot formats that can be indicated, and the monitoring of the GC-PDCCH carrying SFI were optimized for licensed operation. For NR-U, it is possible some enhancements to the SFI are needed to make it more unlicensed operation friendly.</w:t>
      </w:r>
    </w:p>
    <w:p w14:paraId="00FB2D0E" w14:textId="4E9EB3AF" w:rsidR="00F6223D" w:rsidRDefault="00F6223D" w:rsidP="00A73185">
      <w:pPr>
        <w:wordWrap/>
        <w:rPr>
          <w:lang w:eastAsia="en-US"/>
        </w:rPr>
      </w:pPr>
      <w:r>
        <w:rPr>
          <w:lang w:eastAsia="en-US"/>
        </w:rPr>
        <w:t>Some features already in LTE-LAA C-PDCCH that can be considered to be includes:</w:t>
      </w:r>
    </w:p>
    <w:p w14:paraId="396026ED" w14:textId="7865B425" w:rsidR="00F6223D" w:rsidRDefault="00F6223D" w:rsidP="00F6223D">
      <w:pPr>
        <w:pStyle w:val="ListParagraph"/>
        <w:numPr>
          <w:ilvl w:val="0"/>
          <w:numId w:val="17"/>
        </w:numPr>
        <w:rPr>
          <w:lang w:eastAsia="en-US"/>
        </w:rPr>
      </w:pPr>
      <w:r>
        <w:rPr>
          <w:lang w:eastAsia="en-US"/>
        </w:rPr>
        <w:t>2-stage PUSCH trigger</w:t>
      </w:r>
    </w:p>
    <w:p w14:paraId="3BB07E67" w14:textId="3EA677D8" w:rsidR="001759B0" w:rsidRDefault="00F6223D" w:rsidP="001759B0">
      <w:pPr>
        <w:pStyle w:val="ListParagraph"/>
        <w:numPr>
          <w:ilvl w:val="0"/>
          <w:numId w:val="17"/>
        </w:numPr>
        <w:rPr>
          <w:lang w:eastAsia="en-US"/>
        </w:rPr>
      </w:pPr>
      <w:r>
        <w:rPr>
          <w:lang w:eastAsia="en-US"/>
        </w:rPr>
        <w:t>COT sharing indicator for AUL</w:t>
      </w:r>
    </w:p>
    <w:p w14:paraId="135069F2" w14:textId="06A6C229" w:rsidR="001759B0" w:rsidRDefault="001759B0" w:rsidP="001759B0">
      <w:pPr>
        <w:wordWrap/>
        <w:rPr>
          <w:lang w:eastAsia="en-US"/>
        </w:rPr>
      </w:pPr>
      <w:r>
        <w:rPr>
          <w:lang w:eastAsia="en-US"/>
        </w:rPr>
        <w:t>Some additional features to be considered for SFI includes</w:t>
      </w:r>
    </w:p>
    <w:p w14:paraId="467361CE" w14:textId="69FB7FA6" w:rsidR="001759B0" w:rsidRDefault="001759B0" w:rsidP="001759B0">
      <w:pPr>
        <w:pStyle w:val="ListParagraph"/>
        <w:numPr>
          <w:ilvl w:val="0"/>
          <w:numId w:val="17"/>
        </w:numPr>
        <w:rPr>
          <w:lang w:eastAsia="en-US"/>
        </w:rPr>
      </w:pPr>
      <w:r>
        <w:rPr>
          <w:lang w:eastAsia="en-US"/>
        </w:rPr>
        <w:t xml:space="preserve">Using GC-PDCCH carrying SFI to indicate the subband usage is subband LBT is applied </w:t>
      </w:r>
    </w:p>
    <w:p w14:paraId="029253F3" w14:textId="4B2944E2" w:rsidR="00845CC0" w:rsidRDefault="001759B0" w:rsidP="00C418D9">
      <w:pPr>
        <w:pStyle w:val="proposal"/>
      </w:pPr>
      <w:bookmarkStart w:id="15" w:name="k"/>
      <w:r>
        <w:t>Proposal</w:t>
      </w:r>
      <w:r w:rsidR="00190501">
        <w:t xml:space="preserve"> </w:t>
      </w:r>
      <w:r w:rsidR="005368CB">
        <w:fldChar w:fldCharType="begin"/>
      </w:r>
      <w:r w:rsidR="005368CB">
        <w:instrText xml:space="preserve"> seq prop </w:instrText>
      </w:r>
      <w:r w:rsidR="005368CB">
        <w:fldChar w:fldCharType="separate"/>
      </w:r>
      <w:r w:rsidR="005368CB">
        <w:rPr>
          <w:noProof/>
        </w:rPr>
        <w:t>15</w:t>
      </w:r>
      <w:r w:rsidR="005368CB">
        <w:rPr>
          <w:noProof/>
        </w:rPr>
        <w:fldChar w:fldCharType="end"/>
      </w:r>
      <w:r>
        <w:t>: NR SFI can be enhanced to support the functionality of LTE-LAA C-PDCCH, and support subband based channel access.</w:t>
      </w:r>
    </w:p>
    <w:bookmarkEnd w:id="15"/>
    <w:p w14:paraId="2702CE69" w14:textId="77777777" w:rsidR="00972176" w:rsidRPr="00CD120C" w:rsidRDefault="00972176" w:rsidP="00C418D9">
      <w:pPr>
        <w:pStyle w:val="proposal"/>
      </w:pPr>
    </w:p>
    <w:p w14:paraId="61F75F64" w14:textId="382D8BCE" w:rsidR="0097374C" w:rsidRPr="00985B1D" w:rsidRDefault="00FD7737" w:rsidP="00F258F5">
      <w:pPr>
        <w:pStyle w:val="Heading1"/>
      </w:pPr>
      <w:r>
        <w:t xml:space="preserve"> </w:t>
      </w:r>
      <w:bookmarkEnd w:id="2"/>
      <w:bookmarkEnd w:id="3"/>
      <w:r w:rsidR="00985B1D">
        <w:t>Summary</w:t>
      </w:r>
    </w:p>
    <w:p w14:paraId="228E955B" w14:textId="5041F71C" w:rsidR="00682284" w:rsidRDefault="00682284" w:rsidP="00C418D9">
      <w:r>
        <w:t xml:space="preserve">In this section, we summarize the DL waveform design options for NR-U in </w:t>
      </w:r>
      <w:r w:rsidR="0069065B">
        <w:t>SUB-7GHZ BAND</w:t>
      </w:r>
      <w:r>
        <w:t xml:space="preserve"> along with the performance evaluation. We </w:t>
      </w:r>
      <w:r w:rsidR="001E0996">
        <w:t>have the following observations and proposals</w:t>
      </w:r>
      <w:r>
        <w:t>.</w:t>
      </w:r>
    </w:p>
    <w:p w14:paraId="38627BA5" w14:textId="77777777" w:rsidR="005368CB" w:rsidRDefault="00190501" w:rsidP="002008B9">
      <w:pPr>
        <w:pStyle w:val="proposal"/>
      </w:pPr>
      <w:r>
        <w:fldChar w:fldCharType="begin"/>
      </w:r>
      <w:r>
        <w:instrText xml:space="preserve"> REF a \h </w:instrText>
      </w:r>
      <w:r>
        <w:fldChar w:fldCharType="separate"/>
      </w:r>
      <w:r w:rsidR="005368CB" w:rsidRPr="00C418D9">
        <w:t xml:space="preserve">Observation </w:t>
      </w:r>
      <w:r w:rsidR="005368CB">
        <w:rPr>
          <w:noProof/>
        </w:rPr>
        <w:t>1</w:t>
      </w:r>
      <w:r w:rsidR="005368CB" w:rsidRPr="00C418D9">
        <w:t xml:space="preserve">: SCS for SSB in NR-U </w:t>
      </w:r>
      <w:r w:rsidR="005368CB">
        <w:t>SUB-7GHZ BAND</w:t>
      </w:r>
      <w:r w:rsidR="005368CB" w:rsidRPr="00C418D9">
        <w:t xml:space="preserve"> should consider the trade-off on the performance, implementation complexity</w:t>
      </w:r>
      <w:r w:rsidR="005368CB">
        <w:t xml:space="preserve">, signaling change </w:t>
      </w:r>
      <w:r w:rsidR="005368CB" w:rsidRPr="00C418D9">
        <w:t>on top of NR</w:t>
      </w:r>
      <w:r w:rsidR="005368CB">
        <w:t xml:space="preserve"> as well as the LBT impact</w:t>
      </w:r>
      <w:r w:rsidR="005368CB" w:rsidRPr="00C418D9">
        <w:t xml:space="preserve">. </w:t>
      </w:r>
      <w:r w:rsidR="005368CB">
        <w:t>It is in general beneficial to support both 30Khz SCS and 60Khz SCS for SSB transmissions for different use case, while 60 KHz SCS SSB is defined for non-cell defining SSBs only.</w:t>
      </w:r>
    </w:p>
    <w:p w14:paraId="0AE6F39C" w14:textId="77777777" w:rsidR="005368CB" w:rsidRDefault="00190501" w:rsidP="005D1388">
      <w:pPr>
        <w:pStyle w:val="proposal"/>
      </w:pPr>
      <w:r>
        <w:fldChar w:fldCharType="end"/>
      </w:r>
      <w:r>
        <w:fldChar w:fldCharType="begin"/>
      </w:r>
      <w:r>
        <w:instrText xml:space="preserve"> REF b \h </w:instrText>
      </w:r>
      <w:r>
        <w:fldChar w:fldCharType="separate"/>
      </w:r>
      <w:r w:rsidR="005368CB" w:rsidRPr="00C418D9">
        <w:t xml:space="preserve">Proposal </w:t>
      </w:r>
      <w:r w:rsidR="005368CB">
        <w:rPr>
          <w:noProof/>
        </w:rPr>
        <w:t>2</w:t>
      </w:r>
      <w:r w:rsidR="005368CB" w:rsidRPr="00C418D9">
        <w:t>: SSB transmission</w:t>
      </w:r>
      <w:r w:rsidR="005368CB">
        <w:t xml:space="preserve"> with 60Khz SCS</w:t>
      </w:r>
      <w:r w:rsidR="005368CB" w:rsidRPr="00C418D9">
        <w:t xml:space="preserve"> </w:t>
      </w:r>
      <w:r w:rsidR="005368CB">
        <w:t>can be considered for NR-U for non-cell defining SSB.</w:t>
      </w:r>
    </w:p>
    <w:p w14:paraId="3EBA6C1E" w14:textId="77777777" w:rsidR="005368CB" w:rsidRPr="005C7BA6" w:rsidRDefault="00190501" w:rsidP="007D338D">
      <w:pPr>
        <w:rPr>
          <w:b/>
        </w:rPr>
      </w:pPr>
      <w:r>
        <w:fldChar w:fldCharType="end"/>
      </w:r>
      <w:r>
        <w:fldChar w:fldCharType="begin"/>
      </w:r>
      <w:r>
        <w:instrText xml:space="preserve"> REF c \h </w:instrText>
      </w:r>
      <w:r>
        <w:fldChar w:fldCharType="separate"/>
      </w:r>
      <w:r w:rsidR="005368CB">
        <w:rPr>
          <w:b/>
        </w:rPr>
        <w:t xml:space="preserve">Proposal </w:t>
      </w:r>
      <w:r w:rsidR="005368CB">
        <w:rPr>
          <w:b/>
          <w:noProof/>
        </w:rPr>
        <w:t>3</w:t>
      </w:r>
      <w:r w:rsidR="005368CB">
        <w:rPr>
          <w:b/>
        </w:rPr>
        <w:t xml:space="preserve">: </w:t>
      </w:r>
      <w:r w:rsidR="005368CB" w:rsidRPr="005C7BA6">
        <w:rPr>
          <w:b/>
        </w:rPr>
        <w:t>Enhance default PDSCH SLIV table to support continuous DRS delivery</w:t>
      </w:r>
      <w:r w:rsidR="005368CB">
        <w:rPr>
          <w:b/>
        </w:rPr>
        <w:t>.</w:t>
      </w:r>
    </w:p>
    <w:p w14:paraId="53093A32" w14:textId="77777777" w:rsidR="005368CB" w:rsidRPr="00F53A74" w:rsidRDefault="00190501" w:rsidP="001E681C">
      <w:pPr>
        <w:pStyle w:val="proposal"/>
      </w:pPr>
      <w:r>
        <w:fldChar w:fldCharType="end"/>
      </w:r>
      <w:r>
        <w:fldChar w:fldCharType="begin"/>
      </w:r>
      <w:r>
        <w:instrText xml:space="preserve"> REF d \h </w:instrText>
      </w:r>
      <w:r w:rsidR="005368CB">
        <w:fldChar w:fldCharType="separate"/>
      </w:r>
      <w:r w:rsidR="005368CB">
        <w:rPr>
          <w:b w:val="0"/>
          <w:bCs/>
        </w:rPr>
        <w:t>Error! Reference source not found.</w:t>
      </w:r>
      <w:r>
        <w:fldChar w:fldCharType="end"/>
      </w:r>
      <w:r>
        <w:fldChar w:fldCharType="begin"/>
      </w:r>
      <w:r>
        <w:instrText xml:space="preserve"> REF e \h </w:instrText>
      </w:r>
      <w:r>
        <w:fldChar w:fldCharType="separate"/>
      </w:r>
      <w:r w:rsidR="005368CB" w:rsidRPr="00F53A74">
        <w:t xml:space="preserve">Proposal </w:t>
      </w:r>
      <w:r w:rsidR="005368CB">
        <w:rPr>
          <w:noProof/>
        </w:rPr>
        <w:t>4</w:t>
      </w:r>
      <w:r w:rsidR="005368CB" w:rsidRPr="00F53A74">
        <w:t>. Further study the design and usage of wake-up signal in NR</w:t>
      </w:r>
      <w:r w:rsidR="005368CB">
        <w:t>-U</w:t>
      </w:r>
    </w:p>
    <w:p w14:paraId="38D4FEFC" w14:textId="77777777" w:rsidR="005368CB" w:rsidRDefault="00190501" w:rsidP="001E681C">
      <w:pPr>
        <w:pStyle w:val="proposal"/>
      </w:pPr>
      <w:r>
        <w:fldChar w:fldCharType="end"/>
      </w:r>
      <w:r>
        <w:fldChar w:fldCharType="begin"/>
      </w:r>
      <w:r>
        <w:instrText xml:space="preserve"> REF f \h </w:instrText>
      </w:r>
      <w:r>
        <w:fldChar w:fldCharType="separate"/>
      </w:r>
      <w:r w:rsidR="005368CB" w:rsidRPr="00CB5E99">
        <w:t xml:space="preserve">Proposal </w:t>
      </w:r>
      <w:r w:rsidR="005368CB">
        <w:rPr>
          <w:noProof/>
        </w:rPr>
        <w:t>5</w:t>
      </w:r>
      <w:r w:rsidR="005368CB">
        <w:t>. For the waveform for WUS, consider PSS/SSS like waveform and wideband repeated short sequence type waveform.</w:t>
      </w:r>
    </w:p>
    <w:p w14:paraId="7F7EFACC" w14:textId="77777777" w:rsidR="005368CB" w:rsidRDefault="00190501" w:rsidP="001E681C">
      <w:pPr>
        <w:pStyle w:val="proposal"/>
      </w:pPr>
      <w:r>
        <w:fldChar w:fldCharType="end"/>
      </w:r>
      <w:r>
        <w:fldChar w:fldCharType="begin"/>
      </w:r>
      <w:r>
        <w:instrText xml:space="preserve"> REF g \h </w:instrText>
      </w:r>
      <w:r>
        <w:fldChar w:fldCharType="separate"/>
      </w:r>
      <w:r w:rsidR="005368CB" w:rsidRPr="00CB5E99">
        <w:t xml:space="preserve">Proposal </w:t>
      </w:r>
      <w:r w:rsidR="005368CB">
        <w:rPr>
          <w:noProof/>
        </w:rPr>
        <w:t>6</w:t>
      </w:r>
      <w:r w:rsidR="005368CB">
        <w:t>. A technology neutral WUS can be considered for improved coexistence between different RAT.</w:t>
      </w:r>
    </w:p>
    <w:p w14:paraId="5DC25F1B" w14:textId="77777777" w:rsidR="005368CB" w:rsidRDefault="00190501" w:rsidP="00C418D9">
      <w:pPr>
        <w:pStyle w:val="proposal"/>
      </w:pPr>
      <w:r>
        <w:fldChar w:fldCharType="end"/>
      </w:r>
      <w:r>
        <w:fldChar w:fldCharType="begin"/>
      </w:r>
      <w:r>
        <w:instrText xml:space="preserve"> REF h \h </w:instrText>
      </w:r>
      <w:r>
        <w:fldChar w:fldCharType="separate"/>
      </w:r>
      <w:r w:rsidR="005368CB" w:rsidRPr="00AE102E">
        <w:t xml:space="preserve">Proposal </w:t>
      </w:r>
      <w:r w:rsidR="005368CB">
        <w:rPr>
          <w:noProof/>
        </w:rPr>
        <w:t>7</w:t>
      </w:r>
      <w:r w:rsidR="005368CB" w:rsidRPr="00AE102E">
        <w:t>: Reuse NR PDCCH waveform for CUI transmission from both gNB and UE.</w:t>
      </w:r>
    </w:p>
    <w:p w14:paraId="0B88241E" w14:textId="77777777" w:rsidR="005368CB" w:rsidRDefault="00190501" w:rsidP="008E3C7D">
      <w:pPr>
        <w:pStyle w:val="proposal"/>
      </w:pPr>
      <w:r>
        <w:fldChar w:fldCharType="end"/>
      </w:r>
      <w:r>
        <w:fldChar w:fldCharType="begin"/>
      </w:r>
      <w:r>
        <w:instrText xml:space="preserve"> REF i \h </w:instrText>
      </w:r>
      <w:r>
        <w:fldChar w:fldCharType="separate"/>
      </w:r>
      <w:r w:rsidR="005368CB" w:rsidRPr="00AE102E">
        <w:t xml:space="preserve">Proposal </w:t>
      </w:r>
      <w:r w:rsidR="005368CB">
        <w:rPr>
          <w:noProof/>
        </w:rPr>
        <w:t>8</w:t>
      </w:r>
      <w:r w:rsidR="005368CB" w:rsidRPr="00AE102E">
        <w:t xml:space="preserve">: </w:t>
      </w:r>
      <w:r w:rsidR="005368CB">
        <w:t>Consider a wideband BWP which consists of multiple subbands where gNB may be able to transmit on a subset of the subbands based on the LBT results.</w:t>
      </w:r>
      <w:bookmarkStart w:id="16" w:name="_GoBack"/>
      <w:bookmarkEnd w:id="16"/>
    </w:p>
    <w:p w14:paraId="00DE5C42" w14:textId="77777777" w:rsidR="005368CB" w:rsidRDefault="005368CB" w:rsidP="00C418D9">
      <w:pPr>
        <w:pStyle w:val="proposal"/>
      </w:pPr>
      <w:r w:rsidRPr="00AE102E">
        <w:t xml:space="preserve">Proposal </w:t>
      </w:r>
      <w:r>
        <w:rPr>
          <w:noProof/>
        </w:rPr>
        <w:t>9</w:t>
      </w:r>
      <w:r w:rsidRPr="00AE102E">
        <w:t xml:space="preserve">: </w:t>
      </w:r>
      <w:r>
        <w:t>Wideband CORESET is configured with subband-contained decoding candidates.</w:t>
      </w:r>
    </w:p>
    <w:p w14:paraId="6D85FCC8" w14:textId="77777777" w:rsidR="005368CB" w:rsidRDefault="005368CB" w:rsidP="00C418D9">
      <w:pPr>
        <w:pStyle w:val="proposal"/>
      </w:pPr>
      <w:r>
        <w:t xml:space="preserve">Proposal </w:t>
      </w:r>
      <w:r>
        <w:rPr>
          <w:noProof/>
        </w:rPr>
        <w:t>10</w:t>
      </w:r>
      <w:r>
        <w:t>: gNB may start transmission in the middle of a slot to minimize medium overhead. The current NR PDSCH transmission type B with 2/4/7 symbol duration can be reused for NR-U.</w:t>
      </w:r>
    </w:p>
    <w:p w14:paraId="483F7653" w14:textId="77777777" w:rsidR="005368CB" w:rsidRDefault="005368CB" w:rsidP="00C418D9">
      <w:pPr>
        <w:pStyle w:val="proposal"/>
      </w:pPr>
      <w:r>
        <w:t xml:space="preserve">Proposal </w:t>
      </w:r>
      <w:r>
        <w:rPr>
          <w:noProof/>
        </w:rPr>
        <w:t>11</w:t>
      </w:r>
      <w:r>
        <w:t>: For UEs with mini-slot monitoring capability, UE may be configured with different CORESET configuration with mini-slot based scheduling compared to the one with slot based scheduling.</w:t>
      </w:r>
    </w:p>
    <w:p w14:paraId="45AB224C" w14:textId="77777777" w:rsidR="005368CB" w:rsidRDefault="005368CB" w:rsidP="00C418D9">
      <w:pPr>
        <w:pStyle w:val="proposal"/>
      </w:pPr>
      <w:r>
        <w:t xml:space="preserve">Proposal </w:t>
      </w:r>
      <w:r>
        <w:rPr>
          <w:noProof/>
        </w:rPr>
        <w:t>12</w:t>
      </w:r>
      <w:r>
        <w:t>: For UEs with mini-slot monitoring capability, UE may be configured with mini-slot based scheduling granularity in the initial slot(s) and switch to slot based scheduling in the later slots per TXOP. The PDCCH monitoring caity in n be further assisted via WUS detection.</w:t>
      </w:r>
    </w:p>
    <w:p w14:paraId="514F96C6" w14:textId="77777777" w:rsidR="005368CB" w:rsidRDefault="005368CB" w:rsidP="00C418D9">
      <w:pPr>
        <w:pStyle w:val="proposal"/>
      </w:pPr>
      <w:r>
        <w:t xml:space="preserve">Proposal </w:t>
      </w:r>
      <w:r>
        <w:rPr>
          <w:noProof/>
        </w:rPr>
        <w:t>13</w:t>
      </w:r>
      <w:r>
        <w:t xml:space="preserve">: For UEs without mini-slot monitoring capability, gNB may use puncturing based transmission to support transmission starting in the middle of a slot. The exact mechanism on signaling and transmission need to be further considered. </w:t>
      </w:r>
    </w:p>
    <w:p w14:paraId="3C76A644" w14:textId="77777777" w:rsidR="005368CB" w:rsidRPr="00213862" w:rsidRDefault="00190501" w:rsidP="00D86055">
      <w:pPr>
        <w:rPr>
          <w:b/>
        </w:rPr>
      </w:pPr>
      <w:r>
        <w:fldChar w:fldCharType="end"/>
      </w:r>
      <w:r>
        <w:fldChar w:fldCharType="begin"/>
      </w:r>
      <w:r>
        <w:instrText xml:space="preserve"> REF j \h </w:instrText>
      </w:r>
      <w:r>
        <w:fldChar w:fldCharType="separate"/>
      </w:r>
      <w:r w:rsidR="005368CB" w:rsidRPr="00213862">
        <w:rPr>
          <w:b/>
        </w:rPr>
        <w:t xml:space="preserve">Proposal </w:t>
      </w:r>
      <w:r w:rsidR="005368CB">
        <w:rPr>
          <w:b/>
          <w:noProof/>
        </w:rPr>
        <w:t>14</w:t>
      </w:r>
      <w:r w:rsidR="005368CB" w:rsidRPr="00213862">
        <w:rPr>
          <w:b/>
        </w:rPr>
        <w:t>. All periodic, semi-persistent, and aperiodic CSI-RS can be supported in NR-U, while the transmission and processing of periodic and semi-persistent CSI-RS should be conditioned on the detection that the transmission opportunity falls in the DL portion of a TxOP.</w:t>
      </w:r>
    </w:p>
    <w:p w14:paraId="7198F791" w14:textId="77777777" w:rsidR="005368CB" w:rsidRDefault="00190501" w:rsidP="00C418D9">
      <w:pPr>
        <w:pStyle w:val="proposal"/>
      </w:pPr>
      <w:r>
        <w:lastRenderedPageBreak/>
        <w:fldChar w:fldCharType="end"/>
      </w:r>
      <w:r>
        <w:fldChar w:fldCharType="begin"/>
      </w:r>
      <w:r>
        <w:instrText xml:space="preserve"> REF k \h </w:instrText>
      </w:r>
      <w:r>
        <w:fldChar w:fldCharType="separate"/>
      </w:r>
      <w:r w:rsidR="005368CB">
        <w:t xml:space="preserve">Proposal </w:t>
      </w:r>
      <w:r w:rsidR="005368CB">
        <w:rPr>
          <w:noProof/>
        </w:rPr>
        <w:t>15</w:t>
      </w:r>
      <w:r w:rsidR="005368CB">
        <w:t>: NR SFI can be enhanced to support the functionality of LTE-LAA C-PDCCH, and support subband based channel access.</w:t>
      </w:r>
    </w:p>
    <w:p w14:paraId="1BAC73AF" w14:textId="4FB13572" w:rsidR="00A27E51" w:rsidRPr="00A27E51" w:rsidRDefault="00190501" w:rsidP="00A27E51">
      <w:r>
        <w:fldChar w:fldCharType="end"/>
      </w:r>
    </w:p>
    <w:p w14:paraId="47A6B625" w14:textId="1E682051" w:rsidR="00E77804" w:rsidRDefault="00E77804" w:rsidP="002B40C5">
      <w:pPr>
        <w:pStyle w:val="Heading1"/>
      </w:pPr>
      <w:r>
        <w:t>References</w:t>
      </w:r>
    </w:p>
    <w:p w14:paraId="6A2C05C6" w14:textId="40D7FF25" w:rsidR="005E48DB" w:rsidRPr="00AE102E" w:rsidRDefault="00E77804" w:rsidP="00C418D9">
      <w:r w:rsidRPr="00AE102E">
        <w:t xml:space="preserve">[1] </w:t>
      </w:r>
      <w:r w:rsidR="00B559A2" w:rsidRPr="00AE102E">
        <w:t>R</w:t>
      </w:r>
      <w:r w:rsidR="00897FFC">
        <w:t>1</w:t>
      </w:r>
      <w:r w:rsidR="00B559A2" w:rsidRPr="00AE102E">
        <w:t>-1</w:t>
      </w:r>
      <w:r w:rsidR="00897FFC">
        <w:t>809822</w:t>
      </w:r>
      <w:r w:rsidR="00B559A2" w:rsidRPr="00AE102E">
        <w:t xml:space="preserve">, </w:t>
      </w:r>
      <w:r w:rsidR="00897FFC">
        <w:t>“Feature lead summary for NR-U DL Signals and Channels”</w:t>
      </w:r>
      <w:r w:rsidR="00B559A2" w:rsidRPr="00AE102E">
        <w:t>, RAN</w:t>
      </w:r>
      <w:r w:rsidR="00897FFC">
        <w:t xml:space="preserve">1 </w:t>
      </w:r>
      <w:r w:rsidR="00B559A2" w:rsidRPr="00AE102E">
        <w:t>#</w:t>
      </w:r>
      <w:r w:rsidR="00897FFC">
        <w:t>94, Motorola Mobility, Lenovo</w:t>
      </w:r>
    </w:p>
    <w:p w14:paraId="210F58D2" w14:textId="0E529E7C" w:rsidR="00242725" w:rsidRPr="00AE102E" w:rsidRDefault="00242725" w:rsidP="00C418D9">
      <w:r w:rsidRPr="00AE102E">
        <w:t xml:space="preserve">[2] </w:t>
      </w:r>
      <w:r w:rsidR="003E096D" w:rsidRPr="00AE102E">
        <w:t>R</w:t>
      </w:r>
      <w:r w:rsidR="003E096D">
        <w:t>1</w:t>
      </w:r>
      <w:r w:rsidR="003E096D" w:rsidRPr="00AE102E">
        <w:t>-1</w:t>
      </w:r>
      <w:r w:rsidR="003E096D">
        <w:t>805916</w:t>
      </w:r>
      <w:r w:rsidR="003E096D" w:rsidRPr="00AE102E">
        <w:t xml:space="preserve">, </w:t>
      </w:r>
      <w:r w:rsidR="003E096D">
        <w:t>“DL channel and signals in NR unlicensed band, Huawei, HiSilicon”</w:t>
      </w:r>
      <w:r w:rsidR="003E096D" w:rsidRPr="00AE102E">
        <w:t>, RAN</w:t>
      </w:r>
      <w:r w:rsidR="003E096D">
        <w:t xml:space="preserve">1 </w:t>
      </w:r>
      <w:r w:rsidR="003E096D" w:rsidRPr="00AE102E">
        <w:t>#</w:t>
      </w:r>
      <w:r w:rsidR="003E096D">
        <w:t>93, Huawei, HiSilicon</w:t>
      </w:r>
    </w:p>
    <w:p w14:paraId="75EE806F" w14:textId="77777777" w:rsidR="0084300C" w:rsidRPr="00AE102E" w:rsidRDefault="0084300C" w:rsidP="00C418D9"/>
    <w:sectPr w:rsidR="0084300C" w:rsidRPr="00AE102E"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C7234" w14:textId="77777777" w:rsidR="00915AE1" w:rsidRDefault="00915AE1" w:rsidP="00C418D9">
      <w:r>
        <w:separator/>
      </w:r>
    </w:p>
    <w:p w14:paraId="4A68FC65" w14:textId="77777777" w:rsidR="00A3468B" w:rsidRDefault="00A3468B"/>
    <w:p w14:paraId="2B20C8B0" w14:textId="77777777" w:rsidR="00A3468B" w:rsidRDefault="00A3468B" w:rsidP="00A73185"/>
  </w:endnote>
  <w:endnote w:type="continuationSeparator" w:id="0">
    <w:p w14:paraId="2F1560E1" w14:textId="77777777" w:rsidR="00915AE1" w:rsidRDefault="00915AE1" w:rsidP="00C418D9">
      <w:r>
        <w:continuationSeparator/>
      </w:r>
    </w:p>
    <w:p w14:paraId="4B1D1192" w14:textId="77777777" w:rsidR="00A3468B" w:rsidRDefault="00A3468B"/>
    <w:p w14:paraId="0E92FC48" w14:textId="77777777" w:rsidR="00A3468B" w:rsidRDefault="00A3468B" w:rsidP="00A73185"/>
  </w:endnote>
  <w:endnote w:type="continuationNotice" w:id="1">
    <w:p w14:paraId="44AC2765" w14:textId="77777777" w:rsidR="00915AE1" w:rsidRDefault="00915AE1" w:rsidP="00C418D9"/>
    <w:p w14:paraId="3E5B1847" w14:textId="77777777" w:rsidR="00A3468B" w:rsidRDefault="00A3468B"/>
    <w:p w14:paraId="21AD213B" w14:textId="77777777" w:rsidR="00A3468B" w:rsidRDefault="00A3468B"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E212E" w:rsidRDefault="003E212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E212E" w:rsidRDefault="003E212E" w:rsidP="00C418D9">
    <w:pPr>
      <w:pStyle w:val="Footer"/>
    </w:pPr>
  </w:p>
  <w:p w14:paraId="7265A418" w14:textId="77777777" w:rsidR="00A3468B" w:rsidRDefault="00A3468B"/>
  <w:p w14:paraId="48825022" w14:textId="77777777" w:rsidR="00A3468B" w:rsidRDefault="00A3468B"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3E212E" w:rsidRDefault="003E212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BFA00B5" w14:textId="77777777" w:rsidR="003E212E" w:rsidRDefault="003E212E" w:rsidP="00C418D9">
    <w:pPr>
      <w:pStyle w:val="Footer"/>
    </w:pPr>
  </w:p>
  <w:p w14:paraId="062CBF9A" w14:textId="77777777" w:rsidR="00A3468B" w:rsidRDefault="00A3468B"/>
  <w:p w14:paraId="1543B3B4" w14:textId="77777777" w:rsidR="00A3468B" w:rsidRDefault="00A3468B"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694C6" w14:textId="77777777" w:rsidR="00915AE1" w:rsidRDefault="00915AE1" w:rsidP="00C418D9">
      <w:r>
        <w:separator/>
      </w:r>
    </w:p>
    <w:p w14:paraId="402D8A59" w14:textId="77777777" w:rsidR="00A3468B" w:rsidRDefault="00A3468B"/>
    <w:p w14:paraId="5CB7721C" w14:textId="77777777" w:rsidR="00A3468B" w:rsidRDefault="00A3468B" w:rsidP="00A73185"/>
  </w:footnote>
  <w:footnote w:type="continuationSeparator" w:id="0">
    <w:p w14:paraId="7044DC59" w14:textId="77777777" w:rsidR="00915AE1" w:rsidRDefault="00915AE1" w:rsidP="00C418D9">
      <w:r>
        <w:continuationSeparator/>
      </w:r>
    </w:p>
    <w:p w14:paraId="1A681B08" w14:textId="77777777" w:rsidR="00A3468B" w:rsidRDefault="00A3468B"/>
    <w:p w14:paraId="3F9AE9E1" w14:textId="77777777" w:rsidR="00A3468B" w:rsidRDefault="00A3468B" w:rsidP="00A73185"/>
  </w:footnote>
  <w:footnote w:type="continuationNotice" w:id="1">
    <w:p w14:paraId="7C8058B0" w14:textId="77777777" w:rsidR="00915AE1" w:rsidRDefault="00915AE1" w:rsidP="00C418D9"/>
    <w:p w14:paraId="552BFF66" w14:textId="77777777" w:rsidR="00A3468B" w:rsidRDefault="00A3468B"/>
    <w:p w14:paraId="271B1A00" w14:textId="77777777" w:rsidR="00A3468B" w:rsidRDefault="00A3468B"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E4AE9F04"/>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5"/>
  </w:num>
  <w:num w:numId="3">
    <w:abstractNumId w:val="15"/>
  </w:num>
  <w:num w:numId="4">
    <w:abstractNumId w:val="18"/>
  </w:num>
  <w:num w:numId="5">
    <w:abstractNumId w:val="19"/>
  </w:num>
  <w:num w:numId="6">
    <w:abstractNumId w:val="4"/>
  </w:num>
  <w:num w:numId="7">
    <w:abstractNumId w:val="12"/>
  </w:num>
  <w:num w:numId="8">
    <w:abstractNumId w:val="11"/>
  </w:num>
  <w:num w:numId="9">
    <w:abstractNumId w:val="3"/>
  </w:num>
  <w:num w:numId="10">
    <w:abstractNumId w:val="17"/>
  </w:num>
  <w:num w:numId="11">
    <w:abstractNumId w:val="9"/>
  </w:num>
  <w:num w:numId="12">
    <w:abstractNumId w:val="1"/>
  </w:num>
  <w:num w:numId="13">
    <w:abstractNumId w:val="0"/>
  </w:num>
  <w:num w:numId="14">
    <w:abstractNumId w:val="6"/>
  </w:num>
  <w:num w:numId="15">
    <w:abstractNumId w:val="8"/>
  </w:num>
  <w:num w:numId="16">
    <w:abstractNumId w:val="13"/>
  </w:num>
  <w:num w:numId="17">
    <w:abstractNumId w:val="16"/>
  </w:num>
  <w:num w:numId="18">
    <w:abstractNumId w:val="14"/>
  </w:num>
  <w:num w:numId="19">
    <w:abstractNumId w:val="10"/>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131"/>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6D"/>
    <w:rsid w:val="003E0C92"/>
    <w:rsid w:val="003E1C11"/>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A50"/>
    <w:rsid w:val="00CA1B8A"/>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31"/>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B3A"/>
    <w:rsid w:val="00F81C6D"/>
    <w:rsid w:val="00F81F9F"/>
    <w:rsid w:val="00F82557"/>
    <w:rsid w:val="00F82D4F"/>
    <w:rsid w:val="00F82D74"/>
    <w:rsid w:val="00F82DD6"/>
    <w:rsid w:val="00F839E2"/>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B21"/>
    <w:rsid w:val="00FB7C0F"/>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3EQ6UJ4K66FU-4-33368</_dlc_DocId>
    <_dlc_DocIdUrl xmlns="df4eea7b-52db-4162-980b-b352f1b580a3">
      <Url>https://projects.qualcomm.com/sites/meridian/_layouts/15/DocIdRedir.aspx?ID=3EQ6UJ4K66FU-4-33368</Url>
      <Description>3EQ6UJ4K66FU-4-33368</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EBD5626-8254-4194-A06C-DAD67CD89BD5}">
  <ds:schemaRefs>
    <ds:schemaRef ds:uri="http://schemas.openxmlformats.org/officeDocument/2006/bibliography"/>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df4eea7b-52db-4162-980b-b352f1b580a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386D2604-76C2-475D-83D1-795BF334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2712</TotalTime>
  <Pages>8</Pages>
  <Words>3538</Words>
  <Characters>18814</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54</cp:revision>
  <cp:lastPrinted>2010-08-13T21:54:00Z</cp:lastPrinted>
  <dcterms:created xsi:type="dcterms:W3CDTF">2018-09-23T23:23:00Z</dcterms:created>
  <dcterms:modified xsi:type="dcterms:W3CDTF">2018-11-02T19:17:00Z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80d5bb4d-b2e1-4914-b51b-86cfeb28fd47</vt:lpwstr>
  </property>
</Properties>
</file>